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13C1" w:rsidRPr="00A013C1" w:rsidRDefault="00A013C1" w:rsidP="00A013C1">
      <w:pPr>
        <w:spacing w:before="100" w:beforeAutospacing="1" w:after="100" w:afterAutospacing="1" w:line="240" w:lineRule="auto"/>
        <w:outlineLvl w:val="1"/>
        <w:rPr>
          <w:rFonts w:ascii="Times New Roman" w:eastAsia="Times New Roman" w:hAnsi="Times New Roman" w:cs="Times New Roman"/>
          <w:b/>
          <w:bCs/>
          <w:color w:val="000000"/>
          <w:sz w:val="36"/>
          <w:szCs w:val="36"/>
          <w:lang w:eastAsia="en-GB"/>
        </w:rPr>
      </w:pPr>
      <w:r w:rsidRPr="00A013C1">
        <w:rPr>
          <w:rFonts w:ascii="Times New Roman" w:eastAsia="Times New Roman" w:hAnsi="Times New Roman" w:cs="Times New Roman"/>
          <w:b/>
          <w:bCs/>
          <w:color w:val="000000"/>
          <w:sz w:val="36"/>
          <w:szCs w:val="36"/>
          <w:lang w:eastAsia="en-GB"/>
        </w:rPr>
        <w:t xml:space="preserve">Elitestone Ltd v. Morris and </w:t>
      </w:r>
      <w:proofErr w:type="gramStart"/>
      <w:r w:rsidRPr="00A013C1">
        <w:rPr>
          <w:rFonts w:ascii="Times New Roman" w:eastAsia="Times New Roman" w:hAnsi="Times New Roman" w:cs="Times New Roman"/>
          <w:b/>
          <w:bCs/>
          <w:color w:val="000000"/>
          <w:sz w:val="36"/>
          <w:szCs w:val="36"/>
          <w:lang w:eastAsia="en-GB"/>
        </w:rPr>
        <w:t>Another</w:t>
      </w:r>
      <w:proofErr w:type="gramEnd"/>
      <w:r w:rsidRPr="00A013C1">
        <w:rPr>
          <w:rFonts w:ascii="Times New Roman" w:eastAsia="Times New Roman" w:hAnsi="Times New Roman" w:cs="Times New Roman"/>
          <w:b/>
          <w:bCs/>
          <w:color w:val="000000"/>
          <w:sz w:val="36"/>
          <w:szCs w:val="36"/>
          <w:lang w:eastAsia="en-GB"/>
        </w:rPr>
        <w:t xml:space="preserve"> [1997] UKHL 15; [1997] 2 All ER 513; [1997] 1 WLR 687 (1st May, 1997)</w:t>
      </w:r>
    </w:p>
    <w:p w:rsidR="00A013C1" w:rsidRPr="00A013C1" w:rsidRDefault="00A013C1" w:rsidP="00A013C1">
      <w:pPr>
        <w:spacing w:after="0" w:line="240" w:lineRule="auto"/>
        <w:jc w:val="center"/>
        <w:rPr>
          <w:rFonts w:ascii="Times New Roman" w:eastAsia="Times New Roman" w:hAnsi="Times New Roman" w:cs="Times New Roman"/>
          <w:color w:val="000000"/>
          <w:sz w:val="27"/>
          <w:szCs w:val="27"/>
          <w:lang w:eastAsia="en-GB"/>
        </w:rPr>
      </w:pPr>
      <w:r w:rsidRPr="00A013C1">
        <w:rPr>
          <w:rFonts w:ascii="Times New Roman" w:eastAsia="Times New Roman" w:hAnsi="Times New Roman" w:cs="Times New Roman"/>
          <w:b/>
          <w:bCs/>
          <w:color w:val="000000"/>
          <w:sz w:val="27"/>
          <w:szCs w:val="27"/>
          <w:lang w:eastAsia="en-GB"/>
        </w:rPr>
        <w:t>HOUSE OF LORDS</w:t>
      </w:r>
    </w:p>
    <w:p w:rsidR="00A013C1" w:rsidRPr="00A013C1" w:rsidRDefault="00A013C1" w:rsidP="00A013C1">
      <w:pPr>
        <w:spacing w:after="0" w:line="240" w:lineRule="auto"/>
        <w:jc w:val="center"/>
        <w:rPr>
          <w:rFonts w:ascii="Times New Roman" w:eastAsia="Times New Roman" w:hAnsi="Times New Roman" w:cs="Times New Roman"/>
          <w:color w:val="000000"/>
          <w:sz w:val="27"/>
          <w:szCs w:val="27"/>
          <w:lang w:eastAsia="en-GB"/>
        </w:rPr>
      </w:pPr>
      <w:r w:rsidRPr="00A013C1">
        <w:rPr>
          <w:rFonts w:ascii="Times New Roman" w:eastAsia="Times New Roman" w:hAnsi="Times New Roman" w:cs="Times New Roman"/>
          <w:color w:val="000000"/>
          <w:sz w:val="27"/>
          <w:szCs w:val="27"/>
          <w:lang w:eastAsia="en-GB"/>
        </w:rPr>
        <w:t>  Lord Browne-Wilkinson   Lord Lloyd of Berwick   Lord Nolan   Lord Nicholls of Birkenhead   Lord Clyde</w:t>
      </w:r>
    </w:p>
    <w:p w:rsidR="00A013C1" w:rsidRPr="00A013C1" w:rsidRDefault="00A013C1" w:rsidP="00A013C1">
      <w:pPr>
        <w:spacing w:after="0" w:line="240" w:lineRule="auto"/>
        <w:jc w:val="center"/>
        <w:rPr>
          <w:rFonts w:ascii="Times New Roman" w:eastAsia="Times New Roman" w:hAnsi="Times New Roman" w:cs="Times New Roman"/>
          <w:color w:val="000000"/>
          <w:sz w:val="27"/>
          <w:szCs w:val="27"/>
          <w:lang w:eastAsia="en-GB"/>
        </w:rPr>
      </w:pPr>
      <w:r w:rsidRPr="00A013C1">
        <w:rPr>
          <w:rFonts w:ascii="Times New Roman" w:eastAsia="Times New Roman" w:hAnsi="Times New Roman" w:cs="Times New Roman"/>
          <w:b/>
          <w:bCs/>
          <w:color w:val="000000"/>
          <w:sz w:val="27"/>
          <w:szCs w:val="27"/>
          <w:lang w:eastAsia="en-GB"/>
        </w:rPr>
        <w:t>OPINIONS OF THE LORDS OF APPEAL FOR JUDGEMENT IN THE CAUSE</w:t>
      </w:r>
    </w:p>
    <w:p w:rsidR="00A013C1" w:rsidRPr="00A013C1" w:rsidRDefault="00A013C1" w:rsidP="00A013C1">
      <w:pPr>
        <w:spacing w:after="0" w:line="240" w:lineRule="auto"/>
        <w:jc w:val="center"/>
        <w:rPr>
          <w:rFonts w:ascii="Times New Roman" w:eastAsia="Times New Roman" w:hAnsi="Times New Roman" w:cs="Times New Roman"/>
          <w:color w:val="000000"/>
          <w:sz w:val="27"/>
          <w:szCs w:val="27"/>
          <w:lang w:eastAsia="en-GB"/>
        </w:rPr>
      </w:pPr>
      <w:r w:rsidRPr="00A013C1">
        <w:rPr>
          <w:rFonts w:ascii="Times New Roman" w:eastAsia="Times New Roman" w:hAnsi="Times New Roman" w:cs="Times New Roman"/>
          <w:i/>
          <w:iCs/>
          <w:color w:val="000000"/>
          <w:sz w:val="27"/>
          <w:szCs w:val="27"/>
          <w:lang w:eastAsia="en-GB"/>
        </w:rPr>
        <w:t xml:space="preserve">ELITESTONE </w:t>
      </w:r>
      <w:proofErr w:type="gramStart"/>
      <w:r w:rsidRPr="00A013C1">
        <w:rPr>
          <w:rFonts w:ascii="Times New Roman" w:eastAsia="Times New Roman" w:hAnsi="Times New Roman" w:cs="Times New Roman"/>
          <w:i/>
          <w:iCs/>
          <w:color w:val="000000"/>
          <w:sz w:val="27"/>
          <w:szCs w:val="27"/>
          <w:lang w:eastAsia="en-GB"/>
        </w:rPr>
        <w:t>LIMITED</w:t>
      </w:r>
      <w:proofErr w:type="gramEnd"/>
      <w:r w:rsidRPr="00A013C1">
        <w:rPr>
          <w:rFonts w:ascii="Times New Roman" w:eastAsia="Times New Roman" w:hAnsi="Times New Roman" w:cs="Times New Roman"/>
          <w:i/>
          <w:iCs/>
          <w:color w:val="000000"/>
          <w:sz w:val="27"/>
          <w:szCs w:val="27"/>
          <w:lang w:eastAsia="en-GB"/>
        </w:rPr>
        <w:br/>
        <w:t>(RESPONDENTS)</w:t>
      </w:r>
    </w:p>
    <w:p w:rsidR="00A013C1" w:rsidRPr="00A013C1" w:rsidRDefault="00A013C1" w:rsidP="00A013C1">
      <w:pPr>
        <w:spacing w:before="100" w:beforeAutospacing="1" w:after="100" w:afterAutospacing="1" w:line="240" w:lineRule="auto"/>
        <w:jc w:val="center"/>
        <w:rPr>
          <w:rFonts w:ascii="Times New Roman" w:eastAsia="Times New Roman" w:hAnsi="Times New Roman" w:cs="Times New Roman"/>
          <w:color w:val="000000"/>
          <w:sz w:val="27"/>
          <w:szCs w:val="27"/>
          <w:lang w:eastAsia="en-GB"/>
        </w:rPr>
      </w:pPr>
      <w:proofErr w:type="gramStart"/>
      <w:r w:rsidRPr="00A013C1">
        <w:rPr>
          <w:rFonts w:ascii="Times New Roman" w:eastAsia="Times New Roman" w:hAnsi="Times New Roman" w:cs="Times New Roman"/>
          <w:i/>
          <w:iCs/>
          <w:color w:val="000000"/>
          <w:sz w:val="27"/>
          <w:szCs w:val="27"/>
          <w:lang w:eastAsia="en-GB"/>
        </w:rPr>
        <w:t>v</w:t>
      </w:r>
      <w:proofErr w:type="gramEnd"/>
      <w:r w:rsidRPr="00A013C1">
        <w:rPr>
          <w:rFonts w:ascii="Times New Roman" w:eastAsia="Times New Roman" w:hAnsi="Times New Roman" w:cs="Times New Roman"/>
          <w:i/>
          <w:iCs/>
          <w:color w:val="000000"/>
          <w:sz w:val="27"/>
          <w:szCs w:val="27"/>
          <w:lang w:eastAsia="en-GB"/>
        </w:rPr>
        <w:t>.</w:t>
      </w:r>
    </w:p>
    <w:p w:rsidR="00A013C1" w:rsidRPr="00A013C1" w:rsidRDefault="00A013C1" w:rsidP="00A013C1">
      <w:pPr>
        <w:spacing w:before="100" w:beforeAutospacing="1" w:after="100" w:afterAutospacing="1" w:line="240" w:lineRule="auto"/>
        <w:rPr>
          <w:rFonts w:ascii="Times New Roman" w:eastAsia="Times New Roman" w:hAnsi="Times New Roman" w:cs="Times New Roman"/>
          <w:color w:val="000000"/>
          <w:sz w:val="27"/>
          <w:szCs w:val="27"/>
          <w:lang w:eastAsia="en-GB"/>
        </w:rPr>
      </w:pPr>
    </w:p>
    <w:p w:rsidR="00A013C1" w:rsidRPr="00A013C1" w:rsidRDefault="00A013C1" w:rsidP="00A013C1">
      <w:pPr>
        <w:spacing w:after="0" w:line="240" w:lineRule="auto"/>
        <w:jc w:val="center"/>
        <w:rPr>
          <w:rFonts w:ascii="Times New Roman" w:eastAsia="Times New Roman" w:hAnsi="Times New Roman" w:cs="Times New Roman"/>
          <w:color w:val="000000"/>
          <w:sz w:val="27"/>
          <w:szCs w:val="27"/>
          <w:lang w:eastAsia="en-GB"/>
        </w:rPr>
      </w:pPr>
      <w:r w:rsidRPr="00A013C1">
        <w:rPr>
          <w:rFonts w:ascii="Times New Roman" w:eastAsia="Times New Roman" w:hAnsi="Times New Roman" w:cs="Times New Roman"/>
          <w:i/>
          <w:iCs/>
          <w:color w:val="000000"/>
          <w:sz w:val="27"/>
          <w:szCs w:val="27"/>
          <w:lang w:eastAsia="en-GB"/>
        </w:rPr>
        <w:t>MORRIS AND ANOTHER (A.P.</w:t>
      </w:r>
      <w:proofErr w:type="gramStart"/>
      <w:r w:rsidRPr="00A013C1">
        <w:rPr>
          <w:rFonts w:ascii="Times New Roman" w:eastAsia="Times New Roman" w:hAnsi="Times New Roman" w:cs="Times New Roman"/>
          <w:i/>
          <w:iCs/>
          <w:color w:val="000000"/>
          <w:sz w:val="27"/>
          <w:szCs w:val="27"/>
          <w:lang w:eastAsia="en-GB"/>
        </w:rPr>
        <w:t>)</w:t>
      </w:r>
      <w:proofErr w:type="gramEnd"/>
      <w:r w:rsidRPr="00A013C1">
        <w:rPr>
          <w:rFonts w:ascii="Times New Roman" w:eastAsia="Times New Roman" w:hAnsi="Times New Roman" w:cs="Times New Roman"/>
          <w:i/>
          <w:iCs/>
          <w:color w:val="000000"/>
          <w:sz w:val="27"/>
          <w:szCs w:val="27"/>
          <w:lang w:eastAsia="en-GB"/>
        </w:rPr>
        <w:br/>
        <w:t>(APPELLANTS)</w:t>
      </w:r>
    </w:p>
    <w:p w:rsidR="00A013C1" w:rsidRPr="00A013C1" w:rsidRDefault="00A013C1" w:rsidP="00A013C1">
      <w:pPr>
        <w:spacing w:before="100" w:beforeAutospacing="1" w:after="100" w:afterAutospacing="1" w:line="240" w:lineRule="auto"/>
        <w:jc w:val="center"/>
        <w:rPr>
          <w:rFonts w:ascii="Times New Roman" w:eastAsia="Times New Roman" w:hAnsi="Times New Roman" w:cs="Times New Roman"/>
          <w:color w:val="000000"/>
          <w:sz w:val="27"/>
          <w:szCs w:val="27"/>
          <w:lang w:eastAsia="en-GB"/>
        </w:rPr>
      </w:pPr>
      <w:r w:rsidRPr="00A013C1">
        <w:rPr>
          <w:rFonts w:ascii="Times New Roman" w:eastAsia="Times New Roman" w:hAnsi="Times New Roman" w:cs="Times New Roman"/>
          <w:color w:val="000000"/>
          <w:sz w:val="27"/>
          <w:szCs w:val="27"/>
          <w:lang w:eastAsia="en-GB"/>
        </w:rPr>
        <w:br/>
      </w:r>
      <w:r w:rsidRPr="00A013C1">
        <w:rPr>
          <w:rFonts w:ascii="Times New Roman" w:eastAsia="Times New Roman" w:hAnsi="Times New Roman" w:cs="Times New Roman"/>
          <w:b/>
          <w:bCs/>
          <w:color w:val="000000"/>
          <w:sz w:val="27"/>
          <w:szCs w:val="27"/>
          <w:lang w:eastAsia="en-GB"/>
        </w:rPr>
        <w:t>ON 1ST MAY 1997</w:t>
      </w:r>
    </w:p>
    <w:p w:rsidR="00A013C1" w:rsidRPr="00A013C1" w:rsidRDefault="00A013C1" w:rsidP="00A013C1">
      <w:pPr>
        <w:spacing w:before="100" w:beforeAutospacing="1" w:after="270" w:line="240" w:lineRule="auto"/>
        <w:rPr>
          <w:rFonts w:ascii="Times New Roman" w:eastAsia="Times New Roman" w:hAnsi="Times New Roman" w:cs="Times New Roman"/>
          <w:color w:val="000000"/>
          <w:sz w:val="27"/>
          <w:szCs w:val="27"/>
          <w:lang w:eastAsia="en-GB"/>
        </w:rPr>
      </w:pPr>
    </w:p>
    <w:p w:rsidR="00A013C1" w:rsidRPr="00A013C1" w:rsidRDefault="00A013C1" w:rsidP="00A013C1">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A013C1">
        <w:rPr>
          <w:rFonts w:ascii="Times New Roman" w:eastAsia="Times New Roman" w:hAnsi="Times New Roman" w:cs="Times New Roman"/>
          <w:b/>
          <w:bCs/>
          <w:color w:val="000000"/>
          <w:sz w:val="27"/>
          <w:szCs w:val="27"/>
          <w:lang w:eastAsia="en-GB"/>
        </w:rPr>
        <w:t>LORD BROWNE-WILKINSON</w:t>
      </w:r>
    </w:p>
    <w:p w:rsidR="00A013C1" w:rsidRPr="00A013C1" w:rsidRDefault="00A013C1" w:rsidP="00A013C1">
      <w:pPr>
        <w:spacing w:before="100" w:beforeAutospacing="1" w:after="100" w:afterAutospacing="1" w:line="240" w:lineRule="auto"/>
        <w:rPr>
          <w:rFonts w:ascii="Times New Roman" w:eastAsia="Times New Roman" w:hAnsi="Times New Roman" w:cs="Times New Roman"/>
          <w:color w:val="000000"/>
          <w:sz w:val="27"/>
          <w:szCs w:val="27"/>
          <w:lang w:eastAsia="en-GB"/>
        </w:rPr>
      </w:pPr>
    </w:p>
    <w:p w:rsidR="00A013C1" w:rsidRPr="00A013C1" w:rsidRDefault="00A013C1" w:rsidP="00A013C1">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A013C1">
        <w:rPr>
          <w:rFonts w:ascii="Times New Roman" w:eastAsia="Times New Roman" w:hAnsi="Times New Roman" w:cs="Times New Roman"/>
          <w:color w:val="000000"/>
          <w:sz w:val="27"/>
          <w:szCs w:val="27"/>
          <w:lang w:eastAsia="en-GB"/>
        </w:rPr>
        <w:t>My Lords,</w:t>
      </w:r>
    </w:p>
    <w:p w:rsidR="00A013C1" w:rsidRPr="00A013C1" w:rsidRDefault="00A013C1" w:rsidP="00A013C1">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A013C1">
        <w:rPr>
          <w:rFonts w:ascii="Times New Roman" w:eastAsia="Times New Roman" w:hAnsi="Times New Roman" w:cs="Times New Roman"/>
          <w:color w:val="000000"/>
          <w:sz w:val="27"/>
          <w:szCs w:val="27"/>
          <w:lang w:eastAsia="en-GB"/>
        </w:rPr>
        <w:t>      I have had the advantage of reading in draft the speeches of my noble and learned friends, Lord Lloyd of Berwick and Lord Clyde. For the reasons which they give I would allow the appeal and restore the order of the assistant recorder.</w:t>
      </w:r>
    </w:p>
    <w:p w:rsidR="00A013C1" w:rsidRPr="00A013C1" w:rsidRDefault="00A013C1" w:rsidP="00A013C1">
      <w:pPr>
        <w:spacing w:before="100" w:beforeAutospacing="1" w:after="270" w:line="240" w:lineRule="auto"/>
        <w:rPr>
          <w:rFonts w:ascii="Times New Roman" w:eastAsia="Times New Roman" w:hAnsi="Times New Roman" w:cs="Times New Roman"/>
          <w:color w:val="000000"/>
          <w:sz w:val="27"/>
          <w:szCs w:val="27"/>
          <w:lang w:eastAsia="en-GB"/>
        </w:rPr>
      </w:pPr>
    </w:p>
    <w:p w:rsidR="00A013C1" w:rsidRPr="00C46687" w:rsidRDefault="00A013C1" w:rsidP="00A013C1">
      <w:pPr>
        <w:spacing w:before="100" w:beforeAutospacing="1" w:after="100" w:afterAutospacing="1" w:line="240" w:lineRule="auto"/>
        <w:rPr>
          <w:rFonts w:ascii="Times New Roman" w:eastAsia="Times New Roman" w:hAnsi="Times New Roman" w:cs="Times New Roman"/>
          <w:color w:val="2E74B5" w:themeColor="accent1" w:themeShade="BF"/>
          <w:sz w:val="27"/>
          <w:szCs w:val="27"/>
          <w:lang w:eastAsia="en-GB"/>
        </w:rPr>
      </w:pPr>
      <w:r w:rsidRPr="00C46687">
        <w:rPr>
          <w:rFonts w:ascii="Times New Roman" w:eastAsia="Times New Roman" w:hAnsi="Times New Roman" w:cs="Times New Roman"/>
          <w:b/>
          <w:bCs/>
          <w:color w:val="2E74B5" w:themeColor="accent1" w:themeShade="BF"/>
          <w:sz w:val="27"/>
          <w:szCs w:val="27"/>
          <w:lang w:eastAsia="en-GB"/>
        </w:rPr>
        <w:t>LORD LLOYD OF BERWICK</w:t>
      </w:r>
    </w:p>
    <w:p w:rsidR="00A013C1" w:rsidRPr="00C46687" w:rsidRDefault="00A013C1" w:rsidP="00A013C1">
      <w:pPr>
        <w:spacing w:before="100" w:beforeAutospacing="1" w:after="100" w:afterAutospacing="1" w:line="240" w:lineRule="auto"/>
        <w:rPr>
          <w:rFonts w:ascii="Times New Roman" w:eastAsia="Times New Roman" w:hAnsi="Times New Roman" w:cs="Times New Roman"/>
          <w:color w:val="2E74B5" w:themeColor="accent1" w:themeShade="BF"/>
          <w:sz w:val="27"/>
          <w:szCs w:val="27"/>
          <w:lang w:eastAsia="en-GB"/>
        </w:rPr>
      </w:pPr>
    </w:p>
    <w:p w:rsidR="00A013C1" w:rsidRPr="00C46687" w:rsidRDefault="00A013C1" w:rsidP="00A013C1">
      <w:pPr>
        <w:spacing w:before="100" w:beforeAutospacing="1" w:after="100" w:afterAutospacing="1" w:line="240" w:lineRule="auto"/>
        <w:rPr>
          <w:rFonts w:ascii="Times New Roman" w:eastAsia="Times New Roman" w:hAnsi="Times New Roman" w:cs="Times New Roman"/>
          <w:color w:val="2E74B5" w:themeColor="accent1" w:themeShade="BF"/>
          <w:sz w:val="27"/>
          <w:szCs w:val="27"/>
          <w:lang w:eastAsia="en-GB"/>
        </w:rPr>
      </w:pPr>
      <w:r w:rsidRPr="00C46687">
        <w:rPr>
          <w:rFonts w:ascii="Times New Roman" w:eastAsia="Times New Roman" w:hAnsi="Times New Roman" w:cs="Times New Roman"/>
          <w:color w:val="2E74B5" w:themeColor="accent1" w:themeShade="BF"/>
          <w:sz w:val="27"/>
          <w:szCs w:val="27"/>
          <w:lang w:eastAsia="en-GB"/>
        </w:rPr>
        <w:t>My Lords,</w:t>
      </w:r>
    </w:p>
    <w:p w:rsidR="00A013C1" w:rsidRPr="00C46687" w:rsidRDefault="00A013C1" w:rsidP="00A013C1">
      <w:pPr>
        <w:spacing w:before="100" w:beforeAutospacing="1" w:after="100" w:afterAutospacing="1" w:line="240" w:lineRule="auto"/>
        <w:rPr>
          <w:rFonts w:ascii="Times New Roman" w:eastAsia="Times New Roman" w:hAnsi="Times New Roman" w:cs="Times New Roman"/>
          <w:color w:val="2E74B5" w:themeColor="accent1" w:themeShade="BF"/>
          <w:sz w:val="27"/>
          <w:szCs w:val="27"/>
          <w:lang w:eastAsia="en-GB"/>
        </w:rPr>
      </w:pPr>
      <w:r w:rsidRPr="00C46687">
        <w:rPr>
          <w:rFonts w:ascii="Times New Roman" w:eastAsia="Times New Roman" w:hAnsi="Times New Roman" w:cs="Times New Roman"/>
          <w:color w:val="2E74B5" w:themeColor="accent1" w:themeShade="BF"/>
          <w:sz w:val="27"/>
          <w:szCs w:val="27"/>
          <w:lang w:eastAsia="en-GB"/>
        </w:rPr>
        <w:t xml:space="preserve">      The plaintiffs, Elitestone Ltd., are the freehold owners of land known as Holt's Field, Murton, </w:t>
      </w:r>
      <w:proofErr w:type="gramStart"/>
      <w:r w:rsidRPr="00C46687">
        <w:rPr>
          <w:rFonts w:ascii="Times New Roman" w:eastAsia="Times New Roman" w:hAnsi="Times New Roman" w:cs="Times New Roman"/>
          <w:color w:val="2E74B5" w:themeColor="accent1" w:themeShade="BF"/>
          <w:sz w:val="27"/>
          <w:szCs w:val="27"/>
          <w:lang w:eastAsia="en-GB"/>
        </w:rPr>
        <w:t>Near</w:t>
      </w:r>
      <w:proofErr w:type="gramEnd"/>
      <w:r w:rsidRPr="00C46687">
        <w:rPr>
          <w:rFonts w:ascii="Times New Roman" w:eastAsia="Times New Roman" w:hAnsi="Times New Roman" w:cs="Times New Roman"/>
          <w:color w:val="2E74B5" w:themeColor="accent1" w:themeShade="BF"/>
          <w:sz w:val="27"/>
          <w:szCs w:val="27"/>
          <w:lang w:eastAsia="en-GB"/>
        </w:rPr>
        <w:t xml:space="preserve"> Swansea. The land is divided into 27 lots. The defendant, Mr. Morris, is the occupier of a chalet or bungalow on Lot No. 6. It is not known for </w:t>
      </w:r>
      <w:r w:rsidRPr="00C46687">
        <w:rPr>
          <w:rFonts w:ascii="Times New Roman" w:eastAsia="Times New Roman" w:hAnsi="Times New Roman" w:cs="Times New Roman"/>
          <w:color w:val="2E74B5" w:themeColor="accent1" w:themeShade="BF"/>
          <w:sz w:val="27"/>
          <w:szCs w:val="27"/>
          <w:lang w:eastAsia="en-GB"/>
        </w:rPr>
        <w:lastRenderedPageBreak/>
        <w:t>certain when the chalet was built. But it seems likely that it was before 1945. Mr. Morris has lived there since 1971.</w:t>
      </w:r>
    </w:p>
    <w:p w:rsidR="00A013C1" w:rsidRPr="00C46687" w:rsidRDefault="00A013C1" w:rsidP="00A013C1">
      <w:pPr>
        <w:spacing w:before="100" w:beforeAutospacing="1" w:after="100" w:afterAutospacing="1" w:line="240" w:lineRule="auto"/>
        <w:rPr>
          <w:rFonts w:ascii="Times New Roman" w:eastAsia="Times New Roman" w:hAnsi="Times New Roman" w:cs="Times New Roman"/>
          <w:color w:val="2E74B5" w:themeColor="accent1" w:themeShade="BF"/>
          <w:sz w:val="27"/>
          <w:szCs w:val="27"/>
          <w:lang w:eastAsia="en-GB"/>
        </w:rPr>
      </w:pPr>
      <w:r w:rsidRPr="00C46687">
        <w:rPr>
          <w:rFonts w:ascii="Times New Roman" w:eastAsia="Times New Roman" w:hAnsi="Times New Roman" w:cs="Times New Roman"/>
          <w:color w:val="2E74B5" w:themeColor="accent1" w:themeShade="BF"/>
          <w:sz w:val="27"/>
          <w:szCs w:val="27"/>
          <w:lang w:eastAsia="en-GB"/>
        </w:rPr>
        <w:t>      The plaintiffs acquired the freehold in 1989 with a view to redevelopment. On 30 April 1991 they issued proceedings in the Swansea County Court claiming possession against all 27 occupiers. Five lead actions were selected, including that in which Mr. Morris was defendant. They came on for trial before Mr. Assistant Recorder Bidder in November 1994. The assistant recorder had a number of issues to decide. He dealt with them in a most impressive manner. So far as Mr. Morris is concerned, his defence was that he is a tenant from year-to-</w:t>
      </w:r>
      <w:proofErr w:type="gramStart"/>
      <w:r w:rsidRPr="00C46687">
        <w:rPr>
          <w:rFonts w:ascii="Times New Roman" w:eastAsia="Times New Roman" w:hAnsi="Times New Roman" w:cs="Times New Roman"/>
          <w:color w:val="2E74B5" w:themeColor="accent1" w:themeShade="BF"/>
          <w:sz w:val="27"/>
          <w:szCs w:val="27"/>
          <w:lang w:eastAsia="en-GB"/>
        </w:rPr>
        <w:t>year, that</w:t>
      </w:r>
      <w:proofErr w:type="gramEnd"/>
      <w:r w:rsidRPr="00C46687">
        <w:rPr>
          <w:rFonts w:ascii="Times New Roman" w:eastAsia="Times New Roman" w:hAnsi="Times New Roman" w:cs="Times New Roman"/>
          <w:color w:val="2E74B5" w:themeColor="accent1" w:themeShade="BF"/>
          <w:sz w:val="27"/>
          <w:szCs w:val="27"/>
          <w:lang w:eastAsia="en-GB"/>
        </w:rPr>
        <w:t xml:space="preserve"> he occupies the premises as his residence, and is therefore entitled to the protection of the Rent Act 1977. He claims a declaration to that effect.</w:t>
      </w:r>
    </w:p>
    <w:p w:rsidR="00A013C1" w:rsidRPr="00C46687" w:rsidRDefault="00A013C1" w:rsidP="00A013C1">
      <w:pPr>
        <w:spacing w:before="100" w:beforeAutospacing="1" w:after="100" w:afterAutospacing="1" w:line="240" w:lineRule="auto"/>
        <w:rPr>
          <w:rFonts w:ascii="Times New Roman" w:eastAsia="Times New Roman" w:hAnsi="Times New Roman" w:cs="Times New Roman"/>
          <w:color w:val="2E74B5" w:themeColor="accent1" w:themeShade="BF"/>
          <w:sz w:val="27"/>
          <w:szCs w:val="27"/>
          <w:lang w:eastAsia="en-GB"/>
        </w:rPr>
      </w:pPr>
      <w:r w:rsidRPr="00C46687">
        <w:rPr>
          <w:rFonts w:ascii="Times New Roman" w:eastAsia="Times New Roman" w:hAnsi="Times New Roman" w:cs="Times New Roman"/>
          <w:color w:val="2E74B5" w:themeColor="accent1" w:themeShade="BF"/>
          <w:sz w:val="27"/>
          <w:szCs w:val="27"/>
          <w:lang w:eastAsia="en-GB"/>
        </w:rPr>
        <w:t>      The assistant recorder held, correctly, at the end of what was necessarily a very lengthy judgment that the question in Mr. Morris's case turned on whether or not the bungalow formed part of the realty. If it did, then Mr. Morris was entitled to his declaration.</w:t>
      </w:r>
    </w:p>
    <w:p w:rsidR="00A013C1" w:rsidRPr="00C46687" w:rsidRDefault="00A013C1" w:rsidP="00A013C1">
      <w:pPr>
        <w:spacing w:before="100" w:beforeAutospacing="1" w:after="100" w:afterAutospacing="1" w:line="240" w:lineRule="auto"/>
        <w:rPr>
          <w:rFonts w:ascii="Times New Roman" w:eastAsia="Times New Roman" w:hAnsi="Times New Roman" w:cs="Times New Roman"/>
          <w:color w:val="2E74B5" w:themeColor="accent1" w:themeShade="BF"/>
          <w:sz w:val="27"/>
          <w:szCs w:val="27"/>
          <w:lang w:eastAsia="en-GB"/>
        </w:rPr>
      </w:pPr>
      <w:r w:rsidRPr="00C46687">
        <w:rPr>
          <w:rFonts w:ascii="Times New Roman" w:eastAsia="Times New Roman" w:hAnsi="Times New Roman" w:cs="Times New Roman"/>
          <w:color w:val="2E74B5" w:themeColor="accent1" w:themeShade="BF"/>
          <w:sz w:val="27"/>
          <w:szCs w:val="27"/>
          <w:lang w:eastAsia="en-GB"/>
        </w:rPr>
        <w:t>      Having visited the site, the assistant recorder had this to say:</w:t>
      </w:r>
    </w:p>
    <w:p w:rsidR="00A013C1" w:rsidRPr="00C46687" w:rsidRDefault="00A013C1" w:rsidP="00A013C1">
      <w:pPr>
        <w:spacing w:after="0" w:line="240" w:lineRule="auto"/>
        <w:ind w:left="720"/>
        <w:rPr>
          <w:rFonts w:ascii="Times New Roman" w:eastAsia="Times New Roman" w:hAnsi="Times New Roman" w:cs="Times New Roman"/>
          <w:color w:val="2E74B5" w:themeColor="accent1" w:themeShade="BF"/>
          <w:sz w:val="27"/>
          <w:szCs w:val="27"/>
          <w:lang w:eastAsia="en-GB"/>
        </w:rPr>
      </w:pPr>
      <w:r w:rsidRPr="00C46687">
        <w:rPr>
          <w:rFonts w:ascii="Times New Roman" w:eastAsia="Times New Roman" w:hAnsi="Times New Roman" w:cs="Times New Roman"/>
          <w:color w:val="2E74B5" w:themeColor="accent1" w:themeShade="BF"/>
          <w:sz w:val="27"/>
          <w:szCs w:val="27"/>
          <w:lang w:eastAsia="en-GB"/>
        </w:rPr>
        <w:t> "While the house rested on the concrete pillars which were themselves attached to the ground, it seems to me clear that at least by 1985 and probably before, it would have been clear to anybody that this was a structure that was not meant to be enjoyed as a chattel to be picked up and moved in due course but that it should be a long-term feature of the realty albeit that, because of its construction, it would plainly need more regular maintenance."</w:t>
      </w:r>
    </w:p>
    <w:p w:rsidR="00A013C1" w:rsidRPr="00C46687" w:rsidRDefault="00A013C1" w:rsidP="00A013C1">
      <w:pPr>
        <w:spacing w:before="100" w:beforeAutospacing="1" w:after="100" w:afterAutospacing="1" w:line="240" w:lineRule="auto"/>
        <w:rPr>
          <w:rFonts w:ascii="Times New Roman" w:eastAsia="Times New Roman" w:hAnsi="Times New Roman" w:cs="Times New Roman"/>
          <w:color w:val="2E74B5" w:themeColor="accent1" w:themeShade="BF"/>
          <w:sz w:val="27"/>
          <w:szCs w:val="27"/>
          <w:lang w:eastAsia="en-GB"/>
        </w:rPr>
      </w:pPr>
      <w:r w:rsidRPr="00C46687">
        <w:rPr>
          <w:rFonts w:ascii="Times New Roman" w:eastAsia="Times New Roman" w:hAnsi="Times New Roman" w:cs="Times New Roman"/>
          <w:color w:val="2E74B5" w:themeColor="accent1" w:themeShade="BF"/>
          <w:sz w:val="27"/>
          <w:szCs w:val="27"/>
          <w:lang w:eastAsia="en-GB"/>
        </w:rPr>
        <w:t>      The Court of Appeal disagreed (unreported), 28 July 1995, Court of Appeal (Civil Division) Transcript No. 1025 of 1995. Aldous L.J., who gave the leading judgment, was much influenced by the fact that the bungalow was resting by its own weight on concrete pillars, without any attachment. He was also influenced by the uncertainty of Mr. Morris' tenure. Although Mr. Morris had been in occupation since 1971, he was required to obtain an annual "licence." At first the licence fee was £3 a year. It rose to £10 in 1984, then to £52 in 1985, and finally to £85 in 1989. In 1990 the plaintiffs required a licence fee of £1,000: but Mr. Morris, and the other occupiers declined to pay.</w:t>
      </w:r>
    </w:p>
    <w:p w:rsidR="00A013C1" w:rsidRPr="00C46687" w:rsidRDefault="00A013C1" w:rsidP="00A013C1">
      <w:pPr>
        <w:spacing w:before="100" w:beforeAutospacing="1" w:after="100" w:afterAutospacing="1" w:line="240" w:lineRule="auto"/>
        <w:rPr>
          <w:rFonts w:ascii="Times New Roman" w:eastAsia="Times New Roman" w:hAnsi="Times New Roman" w:cs="Times New Roman"/>
          <w:color w:val="2E74B5" w:themeColor="accent1" w:themeShade="BF"/>
          <w:sz w:val="27"/>
          <w:szCs w:val="27"/>
          <w:lang w:eastAsia="en-GB"/>
        </w:rPr>
      </w:pPr>
      <w:r w:rsidRPr="00C46687">
        <w:rPr>
          <w:rFonts w:ascii="Times New Roman" w:eastAsia="Times New Roman" w:hAnsi="Times New Roman" w:cs="Times New Roman"/>
          <w:color w:val="2E74B5" w:themeColor="accent1" w:themeShade="BF"/>
          <w:sz w:val="27"/>
          <w:szCs w:val="27"/>
          <w:lang w:eastAsia="en-GB"/>
        </w:rPr>
        <w:t>      On these facts Aldous L.J. inferred that it was the common intention of the parties that the occupiers should acquire the ownership of their bungalows, but the ownership of the sites should remain in the freeholders. On that footing Mr. Morris' bungalow was to be regarded as a chattel. It was never annexed to the soil, so it never became part of the realty. It followed that the tenancy did not include the bungalow, and Mr. Morris was not a protected tenant.</w:t>
      </w:r>
    </w:p>
    <w:p w:rsidR="00A013C1" w:rsidRPr="00C46687" w:rsidRDefault="00A013C1" w:rsidP="00A013C1">
      <w:pPr>
        <w:spacing w:before="100" w:beforeAutospacing="1" w:after="100" w:afterAutospacing="1" w:line="240" w:lineRule="auto"/>
        <w:rPr>
          <w:rFonts w:ascii="Times New Roman" w:eastAsia="Times New Roman" w:hAnsi="Times New Roman" w:cs="Times New Roman"/>
          <w:color w:val="2E74B5" w:themeColor="accent1" w:themeShade="BF"/>
          <w:sz w:val="27"/>
          <w:szCs w:val="27"/>
          <w:lang w:eastAsia="en-GB"/>
        </w:rPr>
      </w:pPr>
      <w:r w:rsidRPr="00C46687">
        <w:rPr>
          <w:rFonts w:ascii="Times New Roman" w:eastAsia="Times New Roman" w:hAnsi="Times New Roman" w:cs="Times New Roman"/>
          <w:color w:val="2E74B5" w:themeColor="accent1" w:themeShade="BF"/>
          <w:sz w:val="27"/>
          <w:szCs w:val="27"/>
          <w:lang w:eastAsia="en-GB"/>
        </w:rPr>
        <w:lastRenderedPageBreak/>
        <w:t xml:space="preserve">      Unlike the judge, the Court of Appeal did not have the advantage of having seen the bungalow. Nor were they shown any of the photographs, some of which were put before your Lordships. These photographs were taken only very recently. Like all photographs they can be deceptive. But if the Court of Appeal had seen the photographs, it is at least possible that they would have taken a different view. For the photographs show very clearly what the bungalow is, and especially what it is not. </w:t>
      </w:r>
      <w:r w:rsidRPr="00975680">
        <w:rPr>
          <w:rFonts w:ascii="Times New Roman" w:eastAsia="Times New Roman" w:hAnsi="Times New Roman" w:cs="Times New Roman"/>
          <w:color w:val="2E74B5" w:themeColor="accent1" w:themeShade="BF"/>
          <w:sz w:val="27"/>
          <w:szCs w:val="27"/>
          <w:highlight w:val="yellow"/>
          <w:lang w:eastAsia="en-GB"/>
        </w:rPr>
        <w:t>It is </w:t>
      </w:r>
      <w:r w:rsidRPr="00975680">
        <w:rPr>
          <w:rFonts w:ascii="Times New Roman" w:eastAsia="Times New Roman" w:hAnsi="Times New Roman" w:cs="Times New Roman"/>
          <w:i/>
          <w:iCs/>
          <w:color w:val="2E74B5" w:themeColor="accent1" w:themeShade="BF"/>
          <w:sz w:val="27"/>
          <w:szCs w:val="27"/>
          <w:highlight w:val="yellow"/>
          <w:lang w:eastAsia="en-GB"/>
        </w:rPr>
        <w:t>not</w:t>
      </w:r>
      <w:r w:rsidRPr="00975680">
        <w:rPr>
          <w:rFonts w:ascii="Times New Roman" w:eastAsia="Times New Roman" w:hAnsi="Times New Roman" w:cs="Times New Roman"/>
          <w:color w:val="2E74B5" w:themeColor="accent1" w:themeShade="BF"/>
          <w:sz w:val="27"/>
          <w:szCs w:val="27"/>
          <w:highlight w:val="yellow"/>
          <w:lang w:eastAsia="en-GB"/>
        </w:rPr>
        <w:t xml:space="preserve"> like a Portakabin, or </w:t>
      </w:r>
      <w:r w:rsidRPr="00975680">
        <w:rPr>
          <w:rFonts w:ascii="Times New Roman" w:eastAsia="Times New Roman" w:hAnsi="Times New Roman" w:cs="Times New Roman"/>
          <w:b/>
          <w:color w:val="2E74B5" w:themeColor="accent1" w:themeShade="BF"/>
          <w:sz w:val="27"/>
          <w:szCs w:val="27"/>
          <w:highlight w:val="yellow"/>
          <w:u w:val="single"/>
          <w:lang w:eastAsia="en-GB"/>
        </w:rPr>
        <w:t>mobile home</w:t>
      </w:r>
      <w:r w:rsidRPr="00975680">
        <w:rPr>
          <w:rFonts w:ascii="Times New Roman" w:eastAsia="Times New Roman" w:hAnsi="Times New Roman" w:cs="Times New Roman"/>
          <w:color w:val="2E74B5" w:themeColor="accent1" w:themeShade="BF"/>
          <w:sz w:val="27"/>
          <w:szCs w:val="27"/>
          <w:highlight w:val="yellow"/>
          <w:lang w:eastAsia="en-GB"/>
        </w:rPr>
        <w:t>. The nature of the structure is such that it could not be taken down and re-erected elsewhere. It could only be removed by a process of demolition. This, as will appear later, is a factor of great importance in the present case.</w:t>
      </w:r>
      <w:r w:rsidRPr="00C46687">
        <w:rPr>
          <w:rFonts w:ascii="Times New Roman" w:eastAsia="Times New Roman" w:hAnsi="Times New Roman" w:cs="Times New Roman"/>
          <w:color w:val="2E74B5" w:themeColor="accent1" w:themeShade="BF"/>
          <w:sz w:val="27"/>
          <w:szCs w:val="27"/>
          <w:lang w:eastAsia="en-GB"/>
        </w:rPr>
        <w:t xml:space="preserve"> </w:t>
      </w:r>
      <w:r w:rsidRPr="00975680">
        <w:rPr>
          <w:rFonts w:ascii="Times New Roman" w:eastAsia="Times New Roman" w:hAnsi="Times New Roman" w:cs="Times New Roman"/>
          <w:color w:val="2E74B5" w:themeColor="accent1" w:themeShade="BF"/>
          <w:sz w:val="27"/>
          <w:szCs w:val="27"/>
          <w:highlight w:val="yellow"/>
          <w:lang w:eastAsia="en-GB"/>
        </w:rPr>
        <w:t>If a structure can only be enjoyed in situ, and is such that it cannot be removed in whole or in sections to another site, there is at least a strong inference that the purpose of placing the structure on the original site was that it should form part of the realty at that site, and therefore cease to be a chattel.</w:t>
      </w:r>
    </w:p>
    <w:p w:rsidR="00A013C1" w:rsidRPr="00975680" w:rsidRDefault="00A013C1" w:rsidP="00A013C1">
      <w:pPr>
        <w:spacing w:before="100" w:beforeAutospacing="1" w:after="100" w:afterAutospacing="1" w:line="240" w:lineRule="auto"/>
        <w:rPr>
          <w:rFonts w:ascii="Times New Roman" w:eastAsia="Times New Roman" w:hAnsi="Times New Roman" w:cs="Times New Roman"/>
          <w:color w:val="2E74B5" w:themeColor="accent1" w:themeShade="BF"/>
          <w:sz w:val="27"/>
          <w:szCs w:val="27"/>
          <w:highlight w:val="yellow"/>
          <w:lang w:eastAsia="en-GB"/>
        </w:rPr>
      </w:pPr>
      <w:r w:rsidRPr="00C46687">
        <w:rPr>
          <w:rFonts w:ascii="Times New Roman" w:eastAsia="Times New Roman" w:hAnsi="Times New Roman" w:cs="Times New Roman"/>
          <w:color w:val="2E74B5" w:themeColor="accent1" w:themeShade="BF"/>
          <w:sz w:val="27"/>
          <w:szCs w:val="27"/>
          <w:lang w:eastAsia="en-GB"/>
        </w:rPr>
        <w:t>      There were a number of other issues in the Court of Appeal. I need only mention one. This was an argument by the plaintiffs that Mr. Morris was estopped by convention from denying that the bungalow was a chattel. There was, so it was said, a common assumption that the chalets were owned separately from the land, since each occupier purchased his own chalet from the previous occupier (Mr. Morris paid £250 for No. 6 in 1971), and each occupier paid an annual licence fee to the freeholders. Since the Court of Appeal held that the bungalow was a chattel, they did not find it necessary to deal with the estoppel argument. The plaintiffs might have renewed the argument before your Lordships. But in the meantime the House had given judgment in </w:t>
      </w:r>
      <w:proofErr w:type="spellStart"/>
      <w:r w:rsidRPr="00975680">
        <w:rPr>
          <w:rFonts w:ascii="Times New Roman" w:eastAsia="Times New Roman" w:hAnsi="Times New Roman" w:cs="Times New Roman"/>
          <w:i/>
          <w:iCs/>
          <w:color w:val="2E74B5" w:themeColor="accent1" w:themeShade="BF"/>
          <w:sz w:val="27"/>
          <w:szCs w:val="27"/>
          <w:highlight w:val="yellow"/>
          <w:lang w:eastAsia="en-GB"/>
        </w:rPr>
        <w:t>Melluish</w:t>
      </w:r>
      <w:proofErr w:type="spellEnd"/>
      <w:r w:rsidRPr="00975680">
        <w:rPr>
          <w:rFonts w:ascii="Times New Roman" w:eastAsia="Times New Roman" w:hAnsi="Times New Roman" w:cs="Times New Roman"/>
          <w:i/>
          <w:iCs/>
          <w:color w:val="2E74B5" w:themeColor="accent1" w:themeShade="BF"/>
          <w:sz w:val="27"/>
          <w:szCs w:val="27"/>
          <w:highlight w:val="yellow"/>
          <w:lang w:eastAsia="en-GB"/>
        </w:rPr>
        <w:t xml:space="preserve"> v. B.M.I. (No. 3) Ltd.</w:t>
      </w:r>
      <w:r w:rsidRPr="00975680">
        <w:rPr>
          <w:rFonts w:ascii="Times New Roman" w:eastAsia="Times New Roman" w:hAnsi="Times New Roman" w:cs="Times New Roman"/>
          <w:color w:val="2E74B5" w:themeColor="accent1" w:themeShade="BF"/>
          <w:sz w:val="27"/>
          <w:szCs w:val="27"/>
          <w:highlight w:val="yellow"/>
          <w:lang w:eastAsia="en-GB"/>
        </w:rPr>
        <w:t> [1996] A.C. 454. In that case Lord Browne-Wilkinson said, at p. 473:</w:t>
      </w:r>
    </w:p>
    <w:p w:rsidR="00A013C1" w:rsidRPr="00C46687" w:rsidRDefault="00A013C1" w:rsidP="00A013C1">
      <w:pPr>
        <w:spacing w:after="0" w:line="240" w:lineRule="auto"/>
        <w:ind w:left="720"/>
        <w:rPr>
          <w:rFonts w:ascii="Times New Roman" w:eastAsia="Times New Roman" w:hAnsi="Times New Roman" w:cs="Times New Roman"/>
          <w:color w:val="2E74B5" w:themeColor="accent1" w:themeShade="BF"/>
          <w:sz w:val="27"/>
          <w:szCs w:val="27"/>
          <w:lang w:eastAsia="en-GB"/>
        </w:rPr>
      </w:pPr>
      <w:r w:rsidRPr="00975680">
        <w:rPr>
          <w:rFonts w:ascii="Times New Roman" w:eastAsia="Times New Roman" w:hAnsi="Times New Roman" w:cs="Times New Roman"/>
          <w:color w:val="2E74B5" w:themeColor="accent1" w:themeShade="BF"/>
          <w:sz w:val="27"/>
          <w:szCs w:val="27"/>
          <w:highlight w:val="yellow"/>
          <w:lang w:eastAsia="en-GB"/>
        </w:rPr>
        <w:t> "The terms expressly or implicitly agreed between the fixer of the chattel and the owner of the land cannot affect the determination of the question whether, in law, the chattel has become a fixture and therefore in law belongs to the owner of the soil: . . . The terms of such agreement will regulate the contractual rights to sever the chattel from the land as between the parties to that contract and, where an equitable right is conferred by the contract, as against certain third parties. But such agreement cannot prevent the chattel, once fixed, becoming in law part of the land and as such owned by the owner of the land so long as it remains fixed."</w:t>
      </w:r>
    </w:p>
    <w:p w:rsidR="00A013C1" w:rsidRPr="00C46687" w:rsidRDefault="00A013C1" w:rsidP="00A013C1">
      <w:pPr>
        <w:spacing w:before="100" w:beforeAutospacing="1" w:after="100" w:afterAutospacing="1" w:line="240" w:lineRule="auto"/>
        <w:rPr>
          <w:rFonts w:ascii="Times New Roman" w:eastAsia="Times New Roman" w:hAnsi="Times New Roman" w:cs="Times New Roman"/>
          <w:color w:val="2E74B5" w:themeColor="accent1" w:themeShade="BF"/>
          <w:sz w:val="27"/>
          <w:szCs w:val="27"/>
          <w:lang w:eastAsia="en-GB"/>
        </w:rPr>
      </w:pPr>
      <w:r w:rsidRPr="00C46687">
        <w:rPr>
          <w:rFonts w:ascii="Times New Roman" w:eastAsia="Times New Roman" w:hAnsi="Times New Roman" w:cs="Times New Roman"/>
          <w:color w:val="2E74B5" w:themeColor="accent1" w:themeShade="BF"/>
          <w:sz w:val="27"/>
          <w:szCs w:val="27"/>
          <w:lang w:eastAsia="en-GB"/>
        </w:rPr>
        <w:t>If an express agreement cannot prevent a chattel from becoming part of the land, so long as it is fixed to the land, it is obvious that a common assumption cannot have that effect. It is not surprising, therefore, that Mr. Thom abandoned his estoppel argument.</w:t>
      </w:r>
    </w:p>
    <w:p w:rsidR="00A013C1" w:rsidRPr="00C46687" w:rsidRDefault="00A013C1" w:rsidP="00A013C1">
      <w:pPr>
        <w:spacing w:before="100" w:beforeAutospacing="1" w:after="100" w:afterAutospacing="1" w:line="240" w:lineRule="auto"/>
        <w:rPr>
          <w:rFonts w:ascii="Times New Roman" w:eastAsia="Times New Roman" w:hAnsi="Times New Roman" w:cs="Times New Roman"/>
          <w:color w:val="2E74B5" w:themeColor="accent1" w:themeShade="BF"/>
          <w:sz w:val="27"/>
          <w:szCs w:val="27"/>
          <w:lang w:eastAsia="en-GB"/>
        </w:rPr>
      </w:pPr>
      <w:r w:rsidRPr="00C46687">
        <w:rPr>
          <w:rFonts w:ascii="Times New Roman" w:eastAsia="Times New Roman" w:hAnsi="Times New Roman" w:cs="Times New Roman"/>
          <w:color w:val="2E74B5" w:themeColor="accent1" w:themeShade="BF"/>
          <w:sz w:val="27"/>
          <w:szCs w:val="27"/>
          <w:lang w:eastAsia="en-GB"/>
        </w:rPr>
        <w:t>      </w:t>
      </w:r>
      <w:r w:rsidRPr="00975680">
        <w:rPr>
          <w:rFonts w:ascii="Times New Roman" w:eastAsia="Times New Roman" w:hAnsi="Times New Roman" w:cs="Times New Roman"/>
          <w:color w:val="2E74B5" w:themeColor="accent1" w:themeShade="BF"/>
          <w:sz w:val="27"/>
          <w:szCs w:val="27"/>
          <w:highlight w:val="yellow"/>
          <w:lang w:eastAsia="en-GB"/>
        </w:rPr>
        <w:t>Thus the sole remaining issue for your Lordships is whether Mr. Morris' bungalow did indeed become part of the land, or whether it has remained a chattel ever since it was first constructed before 1945</w:t>
      </w:r>
      <w:r w:rsidRPr="00C46687">
        <w:rPr>
          <w:rFonts w:ascii="Times New Roman" w:eastAsia="Times New Roman" w:hAnsi="Times New Roman" w:cs="Times New Roman"/>
          <w:color w:val="2E74B5" w:themeColor="accent1" w:themeShade="BF"/>
          <w:sz w:val="27"/>
          <w:szCs w:val="27"/>
          <w:lang w:eastAsia="en-GB"/>
        </w:rPr>
        <w:t>.</w:t>
      </w:r>
    </w:p>
    <w:p w:rsidR="00A013C1" w:rsidRPr="00C46687" w:rsidRDefault="00A013C1" w:rsidP="00A013C1">
      <w:pPr>
        <w:spacing w:before="100" w:beforeAutospacing="1" w:after="100" w:afterAutospacing="1" w:line="240" w:lineRule="auto"/>
        <w:rPr>
          <w:rFonts w:ascii="Times New Roman" w:eastAsia="Times New Roman" w:hAnsi="Times New Roman" w:cs="Times New Roman"/>
          <w:color w:val="2E74B5" w:themeColor="accent1" w:themeShade="BF"/>
          <w:sz w:val="27"/>
          <w:szCs w:val="27"/>
          <w:lang w:eastAsia="en-GB"/>
        </w:rPr>
      </w:pPr>
      <w:r w:rsidRPr="00C46687">
        <w:rPr>
          <w:rFonts w:ascii="Times New Roman" w:eastAsia="Times New Roman" w:hAnsi="Times New Roman" w:cs="Times New Roman"/>
          <w:color w:val="2E74B5" w:themeColor="accent1" w:themeShade="BF"/>
          <w:sz w:val="27"/>
          <w:szCs w:val="27"/>
          <w:lang w:eastAsia="en-GB"/>
        </w:rPr>
        <w:lastRenderedPageBreak/>
        <w:t>      It will be noticed that in framing the issue for decision I have avoided the use of the word "fixture." There are two reasons for this. The first is that "fixture", though a hallowed term in this branch of the law, does not always bear the same meaning in law as it does in everyday life. In ordinary language one thinks of a fixture as being something fixed to a building. One would not ordinarily think of the building itself as a fixture. Thus in </w:t>
      </w:r>
      <w:r w:rsidRPr="00C46687">
        <w:rPr>
          <w:rFonts w:ascii="Times New Roman" w:eastAsia="Times New Roman" w:hAnsi="Times New Roman" w:cs="Times New Roman"/>
          <w:i/>
          <w:iCs/>
          <w:color w:val="2E74B5" w:themeColor="accent1" w:themeShade="BF"/>
          <w:sz w:val="27"/>
          <w:szCs w:val="27"/>
          <w:lang w:eastAsia="en-GB"/>
        </w:rPr>
        <w:t>Boswell v. Crucible Steel Co.</w:t>
      </w:r>
      <w:r w:rsidRPr="00C46687">
        <w:rPr>
          <w:rFonts w:ascii="Times New Roman" w:eastAsia="Times New Roman" w:hAnsi="Times New Roman" w:cs="Times New Roman"/>
          <w:color w:val="2E74B5" w:themeColor="accent1" w:themeShade="BF"/>
          <w:sz w:val="27"/>
          <w:szCs w:val="27"/>
          <w:lang w:eastAsia="en-GB"/>
        </w:rPr>
        <w:t> [1925] 1 K.B. 119 the question was whether plate glass windows which formed part of the wall of a warehouse were landlord's fixtures within the meaning of a repairing covenant. Atkin L.J. said, at p. 123:</w:t>
      </w:r>
    </w:p>
    <w:p w:rsidR="00A013C1" w:rsidRPr="00C46687" w:rsidRDefault="00A013C1" w:rsidP="00A013C1">
      <w:pPr>
        <w:spacing w:after="0" w:line="240" w:lineRule="auto"/>
        <w:ind w:left="720"/>
        <w:rPr>
          <w:rFonts w:ascii="Times New Roman" w:eastAsia="Times New Roman" w:hAnsi="Times New Roman" w:cs="Times New Roman"/>
          <w:color w:val="2E74B5" w:themeColor="accent1" w:themeShade="BF"/>
          <w:sz w:val="27"/>
          <w:szCs w:val="27"/>
          <w:lang w:eastAsia="en-GB"/>
        </w:rPr>
      </w:pPr>
      <w:r w:rsidRPr="00C46687">
        <w:rPr>
          <w:rFonts w:ascii="Times New Roman" w:eastAsia="Times New Roman" w:hAnsi="Times New Roman" w:cs="Times New Roman"/>
          <w:color w:val="2E74B5" w:themeColor="accent1" w:themeShade="BF"/>
          <w:sz w:val="27"/>
          <w:szCs w:val="27"/>
          <w:lang w:eastAsia="en-GB"/>
        </w:rPr>
        <w:t> ". . . I am quite satisfied that they are not landlord's fixtures, and for the simple reason that they are not fixtures at all in the sense in which that term is generally understood. A fixture, as that term is used in connection with the house, means something which has been affixed to the freehold as accessory to the house. It does not include things which were made part of the house itself in the course of its construction."</w:t>
      </w:r>
    </w:p>
    <w:p w:rsidR="00A013C1" w:rsidRPr="00C46687" w:rsidRDefault="00A013C1" w:rsidP="00A013C1">
      <w:pPr>
        <w:spacing w:before="100" w:beforeAutospacing="1" w:after="100" w:afterAutospacing="1" w:line="240" w:lineRule="auto"/>
        <w:rPr>
          <w:rFonts w:ascii="Times New Roman" w:eastAsia="Times New Roman" w:hAnsi="Times New Roman" w:cs="Times New Roman"/>
          <w:color w:val="2E74B5" w:themeColor="accent1" w:themeShade="BF"/>
          <w:sz w:val="27"/>
          <w:szCs w:val="27"/>
          <w:lang w:eastAsia="en-GB"/>
        </w:rPr>
      </w:pPr>
      <w:r w:rsidRPr="00C46687">
        <w:rPr>
          <w:rFonts w:ascii="Times New Roman" w:eastAsia="Times New Roman" w:hAnsi="Times New Roman" w:cs="Times New Roman"/>
          <w:color w:val="2E74B5" w:themeColor="accent1" w:themeShade="BF"/>
          <w:sz w:val="27"/>
          <w:szCs w:val="27"/>
          <w:lang w:eastAsia="en-GB"/>
        </w:rPr>
        <w:t>Yet in </w:t>
      </w:r>
      <w:r w:rsidRPr="00C46687">
        <w:rPr>
          <w:rFonts w:ascii="Times New Roman" w:eastAsia="Times New Roman" w:hAnsi="Times New Roman" w:cs="Times New Roman"/>
          <w:i/>
          <w:iCs/>
          <w:color w:val="2E74B5" w:themeColor="accent1" w:themeShade="BF"/>
          <w:sz w:val="27"/>
          <w:szCs w:val="27"/>
          <w:lang w:eastAsia="en-GB"/>
        </w:rPr>
        <w:t>Billing v. Pill</w:t>
      </w:r>
      <w:r w:rsidRPr="00C46687">
        <w:rPr>
          <w:rFonts w:ascii="Times New Roman" w:eastAsia="Times New Roman" w:hAnsi="Times New Roman" w:cs="Times New Roman"/>
          <w:color w:val="2E74B5" w:themeColor="accent1" w:themeShade="BF"/>
          <w:sz w:val="27"/>
          <w:szCs w:val="27"/>
          <w:lang w:eastAsia="en-GB"/>
        </w:rPr>
        <w:t> [1954] 1 Q.B. 70, 75 Lord Goddard C.J. said:</w:t>
      </w:r>
    </w:p>
    <w:p w:rsidR="00A013C1" w:rsidRPr="00C46687" w:rsidRDefault="00A013C1" w:rsidP="00A013C1">
      <w:pPr>
        <w:spacing w:after="0" w:line="240" w:lineRule="auto"/>
        <w:ind w:left="720"/>
        <w:rPr>
          <w:rFonts w:ascii="Times New Roman" w:eastAsia="Times New Roman" w:hAnsi="Times New Roman" w:cs="Times New Roman"/>
          <w:color w:val="2E74B5" w:themeColor="accent1" w:themeShade="BF"/>
          <w:sz w:val="27"/>
          <w:szCs w:val="27"/>
          <w:lang w:eastAsia="en-GB"/>
        </w:rPr>
      </w:pPr>
      <w:r w:rsidRPr="00C46687">
        <w:rPr>
          <w:rFonts w:ascii="Times New Roman" w:eastAsia="Times New Roman" w:hAnsi="Times New Roman" w:cs="Times New Roman"/>
          <w:color w:val="2E74B5" w:themeColor="accent1" w:themeShade="BF"/>
          <w:sz w:val="27"/>
          <w:szCs w:val="27"/>
          <w:lang w:eastAsia="en-GB"/>
        </w:rPr>
        <w:t> "What is a fixture? The commonest fixture is a house which is built into the land, so that in law it is regarded as part of the land. The house and the land are one thing."</w:t>
      </w:r>
    </w:p>
    <w:p w:rsidR="00A013C1" w:rsidRPr="00C46687" w:rsidRDefault="00A013C1" w:rsidP="00A013C1">
      <w:pPr>
        <w:spacing w:before="100" w:beforeAutospacing="1" w:after="100" w:afterAutospacing="1" w:line="240" w:lineRule="auto"/>
        <w:rPr>
          <w:rFonts w:ascii="Times New Roman" w:eastAsia="Times New Roman" w:hAnsi="Times New Roman" w:cs="Times New Roman"/>
          <w:color w:val="2E74B5" w:themeColor="accent1" w:themeShade="BF"/>
          <w:sz w:val="27"/>
          <w:szCs w:val="27"/>
          <w:lang w:eastAsia="en-GB"/>
        </w:rPr>
      </w:pPr>
      <w:r w:rsidRPr="00C46687">
        <w:rPr>
          <w:rFonts w:ascii="Times New Roman" w:eastAsia="Times New Roman" w:hAnsi="Times New Roman" w:cs="Times New Roman"/>
          <w:color w:val="2E74B5" w:themeColor="accent1" w:themeShade="BF"/>
          <w:sz w:val="27"/>
          <w:szCs w:val="27"/>
          <w:lang w:eastAsia="en-GB"/>
        </w:rPr>
        <w:t>      There is another reason. The term fixture is apt to be a source of misunderstanding owing to the existence of the category of so called "tenants' fixtures", (a term used to cover both trade fixtures and ornamental fixtures) which are fixtures in the full sense of the word (and therefore part of the realty) but which may nevertheless be removed by the tenant in the course of or at the end of his tenancy. Such fixtures are sometimes confused with chattels which have never become fixtures at all. Indeed the confusion arose in this very case. In the course of his judgment Aldous L.J. quoted at length from the judgment of Scott L.J. in </w:t>
      </w:r>
      <w:r w:rsidRPr="00C46687">
        <w:rPr>
          <w:rFonts w:ascii="Times New Roman" w:eastAsia="Times New Roman" w:hAnsi="Times New Roman" w:cs="Times New Roman"/>
          <w:i/>
          <w:iCs/>
          <w:color w:val="2E74B5" w:themeColor="accent1" w:themeShade="BF"/>
          <w:sz w:val="27"/>
          <w:szCs w:val="27"/>
          <w:lang w:eastAsia="en-GB"/>
        </w:rPr>
        <w:t>Webb v. Frank Bevis Ltd.</w:t>
      </w:r>
      <w:r w:rsidRPr="00C46687">
        <w:rPr>
          <w:rFonts w:ascii="Times New Roman" w:eastAsia="Times New Roman" w:hAnsi="Times New Roman" w:cs="Times New Roman"/>
          <w:color w:val="2E74B5" w:themeColor="accent1" w:themeShade="BF"/>
          <w:sz w:val="27"/>
          <w:szCs w:val="27"/>
          <w:lang w:eastAsia="en-GB"/>
        </w:rPr>
        <w:t> [1940] 1 A.E.R. 247. The case concerned a shed which was 135 feet long and 50 feet wide. The shed was built on a concrete floor to which it was attached by iron straps. Having referred to </w:t>
      </w:r>
      <w:r w:rsidRPr="00C46687">
        <w:rPr>
          <w:rFonts w:ascii="Times New Roman" w:eastAsia="Times New Roman" w:hAnsi="Times New Roman" w:cs="Times New Roman"/>
          <w:i/>
          <w:iCs/>
          <w:color w:val="2E74B5" w:themeColor="accent1" w:themeShade="BF"/>
          <w:sz w:val="27"/>
          <w:szCs w:val="27"/>
          <w:lang w:eastAsia="en-GB"/>
        </w:rPr>
        <w:t>Webb v. Frank Bevis Ltd.</w:t>
      </w:r>
      <w:r w:rsidRPr="00C46687">
        <w:rPr>
          <w:rFonts w:ascii="Times New Roman" w:eastAsia="Times New Roman" w:hAnsi="Times New Roman" w:cs="Times New Roman"/>
          <w:color w:val="2E74B5" w:themeColor="accent1" w:themeShade="BF"/>
          <w:sz w:val="27"/>
          <w:szCs w:val="27"/>
          <w:lang w:eastAsia="en-GB"/>
        </w:rPr>
        <w:t> and a decision of Hirst J. in </w:t>
      </w:r>
      <w:r w:rsidRPr="00C46687">
        <w:rPr>
          <w:rFonts w:ascii="Times New Roman" w:eastAsia="Times New Roman" w:hAnsi="Times New Roman" w:cs="Times New Roman"/>
          <w:i/>
          <w:iCs/>
          <w:color w:val="2E74B5" w:themeColor="accent1" w:themeShade="BF"/>
          <w:sz w:val="27"/>
          <w:szCs w:val="27"/>
          <w:lang w:eastAsia="en-GB"/>
        </w:rPr>
        <w:t>Deen v. Andrews</w:t>
      </w:r>
      <w:r w:rsidRPr="00C46687">
        <w:rPr>
          <w:rFonts w:ascii="Times New Roman" w:eastAsia="Times New Roman" w:hAnsi="Times New Roman" w:cs="Times New Roman"/>
          <w:color w:val="2E74B5" w:themeColor="accent1" w:themeShade="BF"/>
          <w:sz w:val="27"/>
          <w:szCs w:val="27"/>
          <w:lang w:eastAsia="en-GB"/>
        </w:rPr>
        <w:t> [1986] 1 E.G.L.R. 262 Aldous L.J. continued:</w:t>
      </w:r>
    </w:p>
    <w:p w:rsidR="00A013C1" w:rsidRPr="00C46687" w:rsidRDefault="00A013C1" w:rsidP="00A013C1">
      <w:pPr>
        <w:spacing w:after="0" w:line="240" w:lineRule="auto"/>
        <w:ind w:left="720"/>
        <w:rPr>
          <w:rFonts w:ascii="Times New Roman" w:eastAsia="Times New Roman" w:hAnsi="Times New Roman" w:cs="Times New Roman"/>
          <w:color w:val="2E74B5" w:themeColor="accent1" w:themeShade="BF"/>
          <w:sz w:val="27"/>
          <w:szCs w:val="27"/>
          <w:lang w:eastAsia="en-GB"/>
        </w:rPr>
      </w:pPr>
      <w:r w:rsidRPr="00C46687">
        <w:rPr>
          <w:rFonts w:ascii="Times New Roman" w:eastAsia="Times New Roman" w:hAnsi="Times New Roman" w:cs="Times New Roman"/>
          <w:color w:val="2E74B5" w:themeColor="accent1" w:themeShade="BF"/>
          <w:sz w:val="27"/>
          <w:szCs w:val="27"/>
          <w:lang w:eastAsia="en-GB"/>
        </w:rPr>
        <w:t> "In the present case we are concerned with a chalet which rests on concrete pillars and I believe falls to be considered as a unit which is not annexed to the land. It was no more annexed to the land than the greenhouse in </w:t>
      </w:r>
      <w:r w:rsidRPr="00C46687">
        <w:rPr>
          <w:rFonts w:ascii="Times New Roman" w:eastAsia="Times New Roman" w:hAnsi="Times New Roman" w:cs="Times New Roman"/>
          <w:i/>
          <w:iCs/>
          <w:color w:val="2E74B5" w:themeColor="accent1" w:themeShade="BF"/>
          <w:sz w:val="27"/>
          <w:szCs w:val="27"/>
          <w:lang w:eastAsia="en-GB"/>
        </w:rPr>
        <w:t>Deen v. Andrews</w:t>
      </w:r>
      <w:r w:rsidRPr="00C46687">
        <w:rPr>
          <w:rFonts w:ascii="Times New Roman" w:eastAsia="Times New Roman" w:hAnsi="Times New Roman" w:cs="Times New Roman"/>
          <w:color w:val="2E74B5" w:themeColor="accent1" w:themeShade="BF"/>
          <w:sz w:val="27"/>
          <w:szCs w:val="27"/>
          <w:lang w:eastAsia="en-GB"/>
        </w:rPr>
        <w:t> or the large shed in </w:t>
      </w:r>
      <w:r w:rsidRPr="00C46687">
        <w:rPr>
          <w:rFonts w:ascii="Times New Roman" w:eastAsia="Times New Roman" w:hAnsi="Times New Roman" w:cs="Times New Roman"/>
          <w:i/>
          <w:iCs/>
          <w:color w:val="2E74B5" w:themeColor="accent1" w:themeShade="BF"/>
          <w:sz w:val="27"/>
          <w:szCs w:val="27"/>
          <w:lang w:eastAsia="en-GB"/>
        </w:rPr>
        <w:t>Webb v. Frank Bevis Ltd</w:t>
      </w:r>
      <w:r w:rsidRPr="00C46687">
        <w:rPr>
          <w:rFonts w:ascii="Times New Roman" w:eastAsia="Times New Roman" w:hAnsi="Times New Roman" w:cs="Times New Roman"/>
          <w:color w:val="2E74B5" w:themeColor="accent1" w:themeShade="BF"/>
          <w:sz w:val="27"/>
          <w:szCs w:val="27"/>
          <w:lang w:eastAsia="en-GB"/>
        </w:rPr>
        <w:t>. Prima facie, the chalet is a chattel and not a fixture."</w:t>
      </w:r>
    </w:p>
    <w:p w:rsidR="00A013C1" w:rsidRPr="00C46687" w:rsidRDefault="00A013C1" w:rsidP="00A013C1">
      <w:pPr>
        <w:spacing w:before="100" w:beforeAutospacing="1" w:after="100" w:afterAutospacing="1" w:line="240" w:lineRule="auto"/>
        <w:rPr>
          <w:rFonts w:ascii="Times New Roman" w:eastAsia="Times New Roman" w:hAnsi="Times New Roman" w:cs="Times New Roman"/>
          <w:color w:val="2E74B5" w:themeColor="accent1" w:themeShade="BF"/>
          <w:sz w:val="27"/>
          <w:szCs w:val="27"/>
          <w:lang w:eastAsia="en-GB"/>
        </w:rPr>
      </w:pPr>
      <w:r w:rsidRPr="00C46687">
        <w:rPr>
          <w:rFonts w:ascii="Times New Roman" w:eastAsia="Times New Roman" w:hAnsi="Times New Roman" w:cs="Times New Roman"/>
          <w:color w:val="2E74B5" w:themeColor="accent1" w:themeShade="BF"/>
          <w:sz w:val="27"/>
          <w:szCs w:val="27"/>
          <w:lang w:eastAsia="en-GB"/>
        </w:rPr>
        <w:t>A little later he said: "Unit 6 was just as much a chattel as the very large shed was in the </w:t>
      </w:r>
      <w:r w:rsidRPr="00C46687">
        <w:rPr>
          <w:rFonts w:ascii="Times New Roman" w:eastAsia="Times New Roman" w:hAnsi="Times New Roman" w:cs="Times New Roman"/>
          <w:i/>
          <w:iCs/>
          <w:color w:val="2E74B5" w:themeColor="accent1" w:themeShade="BF"/>
          <w:sz w:val="27"/>
          <w:szCs w:val="27"/>
          <w:lang w:eastAsia="en-GB"/>
        </w:rPr>
        <w:t>Webb</w:t>
      </w:r>
      <w:r w:rsidRPr="00C46687">
        <w:rPr>
          <w:rFonts w:ascii="Times New Roman" w:eastAsia="Times New Roman" w:hAnsi="Times New Roman" w:cs="Times New Roman"/>
          <w:color w:val="2E74B5" w:themeColor="accent1" w:themeShade="BF"/>
          <w:sz w:val="27"/>
          <w:szCs w:val="27"/>
          <w:lang w:eastAsia="en-GB"/>
        </w:rPr>
        <w:t> case and the greenhouse in </w:t>
      </w:r>
      <w:r w:rsidRPr="00C46687">
        <w:rPr>
          <w:rFonts w:ascii="Times New Roman" w:eastAsia="Times New Roman" w:hAnsi="Times New Roman" w:cs="Times New Roman"/>
          <w:i/>
          <w:iCs/>
          <w:color w:val="2E74B5" w:themeColor="accent1" w:themeShade="BF"/>
          <w:sz w:val="27"/>
          <w:szCs w:val="27"/>
          <w:lang w:eastAsia="en-GB"/>
        </w:rPr>
        <w:t>Deen v. Andrews</w:t>
      </w:r>
      <w:r w:rsidRPr="00C46687">
        <w:rPr>
          <w:rFonts w:ascii="Times New Roman" w:eastAsia="Times New Roman" w:hAnsi="Times New Roman" w:cs="Times New Roman"/>
          <w:color w:val="2E74B5" w:themeColor="accent1" w:themeShade="BF"/>
          <w:sz w:val="27"/>
          <w:szCs w:val="27"/>
          <w:lang w:eastAsia="en-GB"/>
        </w:rPr>
        <w:t>."</w:t>
      </w:r>
    </w:p>
    <w:p w:rsidR="00A013C1" w:rsidRPr="00C46687" w:rsidRDefault="00A013C1" w:rsidP="00A013C1">
      <w:pPr>
        <w:spacing w:before="100" w:beforeAutospacing="1" w:after="100" w:afterAutospacing="1" w:line="240" w:lineRule="auto"/>
        <w:rPr>
          <w:rFonts w:ascii="Times New Roman" w:eastAsia="Times New Roman" w:hAnsi="Times New Roman" w:cs="Times New Roman"/>
          <w:color w:val="2E74B5" w:themeColor="accent1" w:themeShade="BF"/>
          <w:sz w:val="27"/>
          <w:szCs w:val="27"/>
          <w:lang w:eastAsia="en-GB"/>
        </w:rPr>
      </w:pPr>
      <w:r w:rsidRPr="00C46687">
        <w:rPr>
          <w:rFonts w:ascii="Times New Roman" w:eastAsia="Times New Roman" w:hAnsi="Times New Roman" w:cs="Times New Roman"/>
          <w:color w:val="2E74B5" w:themeColor="accent1" w:themeShade="BF"/>
          <w:sz w:val="27"/>
          <w:szCs w:val="27"/>
          <w:lang w:eastAsia="en-GB"/>
        </w:rPr>
        <w:lastRenderedPageBreak/>
        <w:t>      But when one looks at Scott L.J's. judgment in </w:t>
      </w:r>
      <w:r w:rsidRPr="00C46687">
        <w:rPr>
          <w:rFonts w:ascii="Times New Roman" w:eastAsia="Times New Roman" w:hAnsi="Times New Roman" w:cs="Times New Roman"/>
          <w:i/>
          <w:iCs/>
          <w:color w:val="2E74B5" w:themeColor="accent1" w:themeShade="BF"/>
          <w:sz w:val="27"/>
          <w:szCs w:val="27"/>
          <w:lang w:eastAsia="en-GB"/>
        </w:rPr>
        <w:t>Webb v. Frank Bevis Ltd.</w:t>
      </w:r>
      <w:r w:rsidRPr="00C46687">
        <w:rPr>
          <w:rFonts w:ascii="Times New Roman" w:eastAsia="Times New Roman" w:hAnsi="Times New Roman" w:cs="Times New Roman"/>
          <w:color w:val="2E74B5" w:themeColor="accent1" w:themeShade="BF"/>
          <w:sz w:val="27"/>
          <w:szCs w:val="27"/>
          <w:lang w:eastAsia="en-GB"/>
        </w:rPr>
        <w:t> it is clear that the shed in question was not a chattel. It was annexed to the land, and was held to form part of the realty. But it could be severed from the land and removed by the tenant at the end of his tenancy because it was in the nature of a tenant's fixture, having been erected by the tenant for use in his trade. It follows that </w:t>
      </w:r>
      <w:r w:rsidRPr="00C46687">
        <w:rPr>
          <w:rFonts w:ascii="Times New Roman" w:eastAsia="Times New Roman" w:hAnsi="Times New Roman" w:cs="Times New Roman"/>
          <w:i/>
          <w:iCs/>
          <w:color w:val="2E74B5" w:themeColor="accent1" w:themeShade="BF"/>
          <w:sz w:val="27"/>
          <w:szCs w:val="27"/>
          <w:lang w:eastAsia="en-GB"/>
        </w:rPr>
        <w:t>Webb v. Frank Bevis Ltd.</w:t>
      </w:r>
      <w:r w:rsidRPr="00C46687">
        <w:rPr>
          <w:rFonts w:ascii="Times New Roman" w:eastAsia="Times New Roman" w:hAnsi="Times New Roman" w:cs="Times New Roman"/>
          <w:color w:val="2E74B5" w:themeColor="accent1" w:themeShade="BF"/>
          <w:sz w:val="27"/>
          <w:szCs w:val="27"/>
          <w:lang w:eastAsia="en-GB"/>
        </w:rPr>
        <w:t> affords no parallel to the present case, as indeed Mr. Thom conceded.</w:t>
      </w:r>
    </w:p>
    <w:p w:rsidR="00A013C1" w:rsidRPr="00D2008A" w:rsidRDefault="00A013C1" w:rsidP="00A013C1">
      <w:pPr>
        <w:spacing w:before="100" w:beforeAutospacing="1" w:after="100" w:afterAutospacing="1" w:line="240" w:lineRule="auto"/>
        <w:rPr>
          <w:rFonts w:ascii="Times New Roman" w:eastAsia="Times New Roman" w:hAnsi="Times New Roman" w:cs="Times New Roman"/>
          <w:color w:val="2E74B5" w:themeColor="accent1" w:themeShade="BF"/>
          <w:sz w:val="27"/>
          <w:szCs w:val="27"/>
          <w:highlight w:val="yellow"/>
          <w:lang w:eastAsia="en-GB"/>
        </w:rPr>
      </w:pPr>
      <w:r w:rsidRPr="00C46687">
        <w:rPr>
          <w:rFonts w:ascii="Times New Roman" w:eastAsia="Times New Roman" w:hAnsi="Times New Roman" w:cs="Times New Roman"/>
          <w:color w:val="2E74B5" w:themeColor="accent1" w:themeShade="BF"/>
          <w:sz w:val="27"/>
          <w:szCs w:val="27"/>
          <w:lang w:eastAsia="en-GB"/>
        </w:rPr>
        <w:t>      For my part I find it better in the present case to avoid the traditional two-fold distinction between chattels and fixtures, and to adopt the three-fold classification set out in </w:t>
      </w:r>
      <w:r w:rsidRPr="00D2008A">
        <w:rPr>
          <w:rFonts w:ascii="Times New Roman" w:eastAsia="Times New Roman" w:hAnsi="Times New Roman" w:cs="Times New Roman"/>
          <w:i/>
          <w:iCs/>
          <w:color w:val="2E74B5" w:themeColor="accent1" w:themeShade="BF"/>
          <w:sz w:val="27"/>
          <w:szCs w:val="27"/>
          <w:highlight w:val="yellow"/>
          <w:lang w:eastAsia="en-GB"/>
        </w:rPr>
        <w:t>Woodfall, Landlord and Tenants</w:t>
      </w:r>
      <w:r w:rsidRPr="00D2008A">
        <w:rPr>
          <w:rFonts w:ascii="Times New Roman" w:eastAsia="Times New Roman" w:hAnsi="Times New Roman" w:cs="Times New Roman"/>
          <w:color w:val="2E74B5" w:themeColor="accent1" w:themeShade="BF"/>
          <w:sz w:val="27"/>
          <w:szCs w:val="27"/>
          <w:highlight w:val="yellow"/>
          <w:lang w:eastAsia="en-GB"/>
        </w:rPr>
        <w:t>, Release 36 (1994), vol. 1, pp. 13/83, para. 13.131:</w:t>
      </w:r>
    </w:p>
    <w:p w:rsidR="00A013C1" w:rsidRPr="00C46687" w:rsidRDefault="00A013C1" w:rsidP="00A013C1">
      <w:pPr>
        <w:spacing w:after="0" w:line="240" w:lineRule="auto"/>
        <w:ind w:left="720"/>
        <w:rPr>
          <w:rFonts w:ascii="Times New Roman" w:eastAsia="Times New Roman" w:hAnsi="Times New Roman" w:cs="Times New Roman"/>
          <w:color w:val="2E74B5" w:themeColor="accent1" w:themeShade="BF"/>
          <w:sz w:val="27"/>
          <w:szCs w:val="27"/>
          <w:lang w:eastAsia="en-GB"/>
        </w:rPr>
      </w:pPr>
      <w:r w:rsidRPr="00D2008A">
        <w:rPr>
          <w:rFonts w:ascii="Times New Roman" w:eastAsia="Times New Roman" w:hAnsi="Times New Roman" w:cs="Times New Roman"/>
          <w:color w:val="2E74B5" w:themeColor="accent1" w:themeShade="BF"/>
          <w:sz w:val="27"/>
          <w:szCs w:val="27"/>
          <w:highlight w:val="yellow"/>
          <w:lang w:eastAsia="en-GB"/>
        </w:rPr>
        <w:t> "An object which is brought onto land may be classified under one of three broad heads. It may be (a) a chattel; (b) a fixture; or (c) part and parcel of the land itself. Objects in categories (b) and (c) are treated as being part of the land."</w:t>
      </w:r>
    </w:p>
    <w:p w:rsidR="00A013C1" w:rsidRPr="00C46687" w:rsidRDefault="00A013C1" w:rsidP="00A013C1">
      <w:pPr>
        <w:spacing w:before="100" w:beforeAutospacing="1" w:after="100" w:afterAutospacing="1" w:line="240" w:lineRule="auto"/>
        <w:rPr>
          <w:rFonts w:ascii="Times New Roman" w:eastAsia="Times New Roman" w:hAnsi="Times New Roman" w:cs="Times New Roman"/>
          <w:color w:val="2E74B5" w:themeColor="accent1" w:themeShade="BF"/>
          <w:sz w:val="27"/>
          <w:szCs w:val="27"/>
          <w:lang w:eastAsia="en-GB"/>
        </w:rPr>
      </w:pPr>
      <w:r w:rsidRPr="00C46687">
        <w:rPr>
          <w:rFonts w:ascii="Times New Roman" w:eastAsia="Times New Roman" w:hAnsi="Times New Roman" w:cs="Times New Roman"/>
          <w:color w:val="2E74B5" w:themeColor="accent1" w:themeShade="BF"/>
          <w:sz w:val="27"/>
          <w:szCs w:val="27"/>
          <w:lang w:eastAsia="en-GB"/>
        </w:rPr>
        <w:t xml:space="preserve">      So the question in the present appeal is whether, when the bungalow was built, it became part and parcel of the land itself. The materials out of which the bungalow was constructed, that is to say, the timber frame walls, the feather boarding, the suspended timber floors, the chip-board ceilings, and so on, were all, of course, chattels when they were brought onto the site. Did they cease to be chattels when they were built into the composite structure? The answer to the question, </w:t>
      </w:r>
      <w:r w:rsidRPr="001407D3">
        <w:rPr>
          <w:rFonts w:ascii="Times New Roman" w:eastAsia="Times New Roman" w:hAnsi="Times New Roman" w:cs="Times New Roman"/>
          <w:color w:val="2E74B5" w:themeColor="accent1" w:themeShade="BF"/>
          <w:sz w:val="27"/>
          <w:szCs w:val="27"/>
          <w:highlight w:val="yellow"/>
          <w:lang w:eastAsia="en-GB"/>
        </w:rPr>
        <w:t>as Blackburn J. pointed out in </w:t>
      </w:r>
      <w:r w:rsidRPr="001407D3">
        <w:rPr>
          <w:rFonts w:ascii="Times New Roman" w:eastAsia="Times New Roman" w:hAnsi="Times New Roman" w:cs="Times New Roman"/>
          <w:i/>
          <w:iCs/>
          <w:color w:val="2E74B5" w:themeColor="accent1" w:themeShade="BF"/>
          <w:sz w:val="27"/>
          <w:szCs w:val="27"/>
          <w:highlight w:val="yellow"/>
          <w:lang w:eastAsia="en-GB"/>
        </w:rPr>
        <w:t>Holland v. Hodgson</w:t>
      </w:r>
      <w:r w:rsidRPr="001407D3">
        <w:rPr>
          <w:rFonts w:ascii="Times New Roman" w:eastAsia="Times New Roman" w:hAnsi="Times New Roman" w:cs="Times New Roman"/>
          <w:color w:val="2E74B5" w:themeColor="accent1" w:themeShade="BF"/>
          <w:sz w:val="27"/>
          <w:szCs w:val="27"/>
          <w:highlight w:val="yellow"/>
          <w:lang w:eastAsia="en-GB"/>
        </w:rPr>
        <w:t> (1872) L.R. 7 C.P. 328, depends on the circumstances of each case, but mainly on two factors, the degree of annexation to the land, and the object of the annexation.</w:t>
      </w:r>
    </w:p>
    <w:p w:rsidR="00A013C1" w:rsidRPr="00C46687" w:rsidRDefault="00A013C1" w:rsidP="00A013C1">
      <w:pPr>
        <w:spacing w:before="100" w:beforeAutospacing="1" w:after="100" w:afterAutospacing="1" w:line="240" w:lineRule="auto"/>
        <w:rPr>
          <w:rFonts w:ascii="Times New Roman" w:eastAsia="Times New Roman" w:hAnsi="Times New Roman" w:cs="Times New Roman"/>
          <w:color w:val="2E74B5" w:themeColor="accent1" w:themeShade="BF"/>
          <w:sz w:val="27"/>
          <w:szCs w:val="27"/>
          <w:lang w:eastAsia="en-GB"/>
        </w:rPr>
      </w:pPr>
      <w:r w:rsidRPr="00C46687">
        <w:rPr>
          <w:rFonts w:ascii="Times New Roman" w:eastAsia="Times New Roman" w:hAnsi="Times New Roman" w:cs="Times New Roman"/>
          <w:i/>
          <w:iCs/>
          <w:color w:val="2E74B5" w:themeColor="accent1" w:themeShade="BF"/>
          <w:sz w:val="27"/>
          <w:szCs w:val="27"/>
          <w:lang w:eastAsia="en-GB"/>
        </w:rPr>
        <w:t>Degree of annexation</w:t>
      </w:r>
    </w:p>
    <w:p w:rsidR="00A013C1" w:rsidRPr="00C46687" w:rsidRDefault="00A013C1" w:rsidP="00A013C1">
      <w:pPr>
        <w:spacing w:before="100" w:beforeAutospacing="1" w:after="100" w:afterAutospacing="1" w:line="240" w:lineRule="auto"/>
        <w:rPr>
          <w:rFonts w:ascii="Times New Roman" w:eastAsia="Times New Roman" w:hAnsi="Times New Roman" w:cs="Times New Roman"/>
          <w:color w:val="2E74B5" w:themeColor="accent1" w:themeShade="BF"/>
          <w:sz w:val="27"/>
          <w:szCs w:val="27"/>
          <w:lang w:eastAsia="en-GB"/>
        </w:rPr>
      </w:pPr>
      <w:r w:rsidRPr="00C46687">
        <w:rPr>
          <w:rFonts w:ascii="Times New Roman" w:eastAsia="Times New Roman" w:hAnsi="Times New Roman" w:cs="Times New Roman"/>
          <w:color w:val="2E74B5" w:themeColor="accent1" w:themeShade="BF"/>
          <w:sz w:val="27"/>
          <w:szCs w:val="27"/>
          <w:lang w:eastAsia="en-GB"/>
        </w:rPr>
        <w:t>      The importance of the degree of annexation will vary from object to object. In the case of a large object, such as a house, the question does not often arise. Annexation goes without saying. So there is little recent authority on the point, and I do not get much help from the early cases in which wooden structures have been held not to form part of the realty, such as the wooden mill in </w:t>
      </w:r>
      <w:r w:rsidRPr="00C46687">
        <w:rPr>
          <w:rFonts w:ascii="Times New Roman" w:eastAsia="Times New Roman" w:hAnsi="Times New Roman" w:cs="Times New Roman"/>
          <w:i/>
          <w:iCs/>
          <w:color w:val="2E74B5" w:themeColor="accent1" w:themeShade="BF"/>
          <w:sz w:val="27"/>
          <w:szCs w:val="27"/>
          <w:lang w:eastAsia="en-GB"/>
        </w:rPr>
        <w:t>Rex v. Otley</w:t>
      </w:r>
      <w:r w:rsidRPr="00C46687">
        <w:rPr>
          <w:rFonts w:ascii="Times New Roman" w:eastAsia="Times New Roman" w:hAnsi="Times New Roman" w:cs="Times New Roman"/>
          <w:color w:val="2E74B5" w:themeColor="accent1" w:themeShade="BF"/>
          <w:sz w:val="27"/>
          <w:szCs w:val="27"/>
          <w:lang w:eastAsia="en-GB"/>
        </w:rPr>
        <w:t> (1830) 1 B. &amp; Ad. 161, the wooden barn in </w:t>
      </w:r>
      <w:proofErr w:type="spellStart"/>
      <w:r w:rsidRPr="00C46687">
        <w:rPr>
          <w:rFonts w:ascii="Times New Roman" w:eastAsia="Times New Roman" w:hAnsi="Times New Roman" w:cs="Times New Roman"/>
          <w:i/>
          <w:iCs/>
          <w:color w:val="2E74B5" w:themeColor="accent1" w:themeShade="BF"/>
          <w:sz w:val="27"/>
          <w:szCs w:val="27"/>
          <w:lang w:eastAsia="en-GB"/>
        </w:rPr>
        <w:t>Wansborough</w:t>
      </w:r>
      <w:proofErr w:type="spellEnd"/>
      <w:r w:rsidRPr="00C46687">
        <w:rPr>
          <w:rFonts w:ascii="Times New Roman" w:eastAsia="Times New Roman" w:hAnsi="Times New Roman" w:cs="Times New Roman"/>
          <w:i/>
          <w:iCs/>
          <w:color w:val="2E74B5" w:themeColor="accent1" w:themeShade="BF"/>
          <w:sz w:val="27"/>
          <w:szCs w:val="27"/>
          <w:lang w:eastAsia="en-GB"/>
        </w:rPr>
        <w:t xml:space="preserve"> v. </w:t>
      </w:r>
      <w:proofErr w:type="spellStart"/>
      <w:r w:rsidRPr="00C46687">
        <w:rPr>
          <w:rFonts w:ascii="Times New Roman" w:eastAsia="Times New Roman" w:hAnsi="Times New Roman" w:cs="Times New Roman"/>
          <w:i/>
          <w:iCs/>
          <w:color w:val="2E74B5" w:themeColor="accent1" w:themeShade="BF"/>
          <w:sz w:val="27"/>
          <w:szCs w:val="27"/>
          <w:lang w:eastAsia="en-GB"/>
        </w:rPr>
        <w:t>Maton</w:t>
      </w:r>
      <w:proofErr w:type="spellEnd"/>
      <w:r w:rsidRPr="00C46687">
        <w:rPr>
          <w:rFonts w:ascii="Times New Roman" w:eastAsia="Times New Roman" w:hAnsi="Times New Roman" w:cs="Times New Roman"/>
          <w:color w:val="2E74B5" w:themeColor="accent1" w:themeShade="BF"/>
          <w:sz w:val="27"/>
          <w:szCs w:val="27"/>
          <w:lang w:eastAsia="en-GB"/>
        </w:rPr>
        <w:t> (1836) 4 Ad. &amp; El. 884 and the granary in </w:t>
      </w:r>
      <w:proofErr w:type="spellStart"/>
      <w:r w:rsidRPr="00C46687">
        <w:rPr>
          <w:rFonts w:ascii="Times New Roman" w:eastAsia="Times New Roman" w:hAnsi="Times New Roman" w:cs="Times New Roman"/>
          <w:i/>
          <w:iCs/>
          <w:color w:val="2E74B5" w:themeColor="accent1" w:themeShade="BF"/>
          <w:sz w:val="27"/>
          <w:szCs w:val="27"/>
          <w:lang w:eastAsia="en-GB"/>
        </w:rPr>
        <w:t>Wiltshear</w:t>
      </w:r>
      <w:proofErr w:type="spellEnd"/>
      <w:r w:rsidRPr="00C46687">
        <w:rPr>
          <w:rFonts w:ascii="Times New Roman" w:eastAsia="Times New Roman" w:hAnsi="Times New Roman" w:cs="Times New Roman"/>
          <w:i/>
          <w:iCs/>
          <w:color w:val="2E74B5" w:themeColor="accent1" w:themeShade="BF"/>
          <w:sz w:val="27"/>
          <w:szCs w:val="27"/>
          <w:lang w:eastAsia="en-GB"/>
        </w:rPr>
        <w:t xml:space="preserve"> v. Cottrell</w:t>
      </w:r>
      <w:r w:rsidRPr="00C46687">
        <w:rPr>
          <w:rFonts w:ascii="Times New Roman" w:eastAsia="Times New Roman" w:hAnsi="Times New Roman" w:cs="Times New Roman"/>
          <w:color w:val="2E74B5" w:themeColor="accent1" w:themeShade="BF"/>
          <w:sz w:val="27"/>
          <w:szCs w:val="27"/>
          <w:lang w:eastAsia="en-GB"/>
        </w:rPr>
        <w:t> (1853) 1 E. &amp; B. 674. But there is a more recent decision of the High Court of Australia which is of greater assistance. In </w:t>
      </w:r>
      <w:r w:rsidRPr="00C46687">
        <w:rPr>
          <w:rFonts w:ascii="Times New Roman" w:eastAsia="Times New Roman" w:hAnsi="Times New Roman" w:cs="Times New Roman"/>
          <w:i/>
          <w:iCs/>
          <w:color w:val="2E74B5" w:themeColor="accent1" w:themeShade="BF"/>
          <w:sz w:val="27"/>
          <w:szCs w:val="27"/>
          <w:lang w:eastAsia="en-GB"/>
        </w:rPr>
        <w:t>Reid v. Smith</w:t>
      </w:r>
      <w:r w:rsidRPr="00C46687">
        <w:rPr>
          <w:rFonts w:ascii="Times New Roman" w:eastAsia="Times New Roman" w:hAnsi="Times New Roman" w:cs="Times New Roman"/>
          <w:color w:val="2E74B5" w:themeColor="accent1" w:themeShade="BF"/>
          <w:sz w:val="27"/>
          <w:szCs w:val="27"/>
          <w:lang w:eastAsia="en-GB"/>
        </w:rPr>
        <w:t> [1905] </w:t>
      </w:r>
      <w:hyperlink r:id="rId8" w:history="1">
        <w:r w:rsidRPr="00C46687">
          <w:rPr>
            <w:rFonts w:ascii="Times New Roman" w:eastAsia="Times New Roman" w:hAnsi="Times New Roman" w:cs="Times New Roman"/>
            <w:color w:val="2E74B5" w:themeColor="accent1" w:themeShade="BF"/>
            <w:sz w:val="27"/>
            <w:szCs w:val="27"/>
            <w:u w:val="single"/>
            <w:lang w:eastAsia="en-GB"/>
          </w:rPr>
          <w:t>3 C.L.R. 656</w:t>
        </w:r>
      </w:hyperlink>
      <w:r w:rsidRPr="00C46687">
        <w:rPr>
          <w:rFonts w:ascii="Times New Roman" w:eastAsia="Times New Roman" w:hAnsi="Times New Roman" w:cs="Times New Roman"/>
          <w:color w:val="2E74B5" w:themeColor="accent1" w:themeShade="BF"/>
          <w:sz w:val="27"/>
          <w:szCs w:val="27"/>
          <w:lang w:eastAsia="en-GB"/>
        </w:rPr>
        <w:t>, 659 Griffiths C.J. stated the question as follows:</w:t>
      </w:r>
    </w:p>
    <w:p w:rsidR="00A013C1" w:rsidRPr="00C46687" w:rsidRDefault="00A013C1" w:rsidP="00A013C1">
      <w:pPr>
        <w:spacing w:after="0" w:line="240" w:lineRule="auto"/>
        <w:ind w:left="720"/>
        <w:rPr>
          <w:rFonts w:ascii="Times New Roman" w:eastAsia="Times New Roman" w:hAnsi="Times New Roman" w:cs="Times New Roman"/>
          <w:color w:val="2E74B5" w:themeColor="accent1" w:themeShade="BF"/>
          <w:sz w:val="27"/>
          <w:szCs w:val="27"/>
          <w:lang w:eastAsia="en-GB"/>
        </w:rPr>
      </w:pPr>
      <w:r w:rsidRPr="00C46687">
        <w:rPr>
          <w:rFonts w:ascii="Times New Roman" w:eastAsia="Times New Roman" w:hAnsi="Times New Roman" w:cs="Times New Roman"/>
          <w:color w:val="2E74B5" w:themeColor="accent1" w:themeShade="BF"/>
          <w:sz w:val="27"/>
          <w:szCs w:val="27"/>
          <w:lang w:eastAsia="en-GB"/>
        </w:rPr>
        <w:t> "The short point raised in this case is whether an ordinary dwelling-house, erected upon an ordinary town allotment in a large town, but not fastened to the soil, remains a chattel or becomes part of the freehold."</w:t>
      </w:r>
    </w:p>
    <w:p w:rsidR="00A013C1" w:rsidRPr="001407D3" w:rsidRDefault="00A013C1" w:rsidP="00A013C1">
      <w:pPr>
        <w:spacing w:before="100" w:beforeAutospacing="1" w:after="100" w:afterAutospacing="1" w:line="240" w:lineRule="auto"/>
        <w:rPr>
          <w:rFonts w:ascii="Times New Roman" w:eastAsia="Times New Roman" w:hAnsi="Times New Roman" w:cs="Times New Roman"/>
          <w:color w:val="2E74B5" w:themeColor="accent1" w:themeShade="BF"/>
          <w:sz w:val="27"/>
          <w:szCs w:val="27"/>
          <w:highlight w:val="yellow"/>
          <w:lang w:eastAsia="en-GB"/>
        </w:rPr>
      </w:pPr>
      <w:r w:rsidRPr="00C46687">
        <w:rPr>
          <w:rFonts w:ascii="Times New Roman" w:eastAsia="Times New Roman" w:hAnsi="Times New Roman" w:cs="Times New Roman"/>
          <w:color w:val="2E74B5" w:themeColor="accent1" w:themeShade="BF"/>
          <w:sz w:val="27"/>
          <w:szCs w:val="27"/>
          <w:lang w:eastAsia="en-GB"/>
        </w:rPr>
        <w:lastRenderedPageBreak/>
        <w:t xml:space="preserve">The Supreme Court of Queensland had held that the house remained a chattel. But the High Court reversed this decision, treating the answer as being almost a matter of common sense. The house in that case was made of wood, and rested by its own weight on brick piers. The house was not attached to the brick piers in any way. It was separated by iron plates placed on top of the piers, in order to prevent an invasion of white ants. There was an extensive citation of English and American authorities. It was held that the absence of any attachment did not prevent the house forming part of the realty. Two quotations, at p. 667, from the American authorities may suffice. </w:t>
      </w:r>
      <w:r w:rsidRPr="001407D3">
        <w:rPr>
          <w:rFonts w:ascii="Times New Roman" w:eastAsia="Times New Roman" w:hAnsi="Times New Roman" w:cs="Times New Roman"/>
          <w:color w:val="2E74B5" w:themeColor="accent1" w:themeShade="BF"/>
          <w:sz w:val="27"/>
          <w:szCs w:val="27"/>
          <w:highlight w:val="yellow"/>
          <w:lang w:eastAsia="en-GB"/>
        </w:rPr>
        <w:t>In </w:t>
      </w:r>
      <w:r w:rsidRPr="001407D3">
        <w:rPr>
          <w:rFonts w:ascii="Times New Roman" w:eastAsia="Times New Roman" w:hAnsi="Times New Roman" w:cs="Times New Roman"/>
          <w:i/>
          <w:iCs/>
          <w:color w:val="2E74B5" w:themeColor="accent1" w:themeShade="BF"/>
          <w:sz w:val="27"/>
          <w:szCs w:val="27"/>
          <w:highlight w:val="yellow"/>
          <w:lang w:eastAsia="en-GB"/>
        </w:rPr>
        <w:t>Snedeker v. Warring</w:t>
      </w:r>
      <w:r w:rsidRPr="001407D3">
        <w:rPr>
          <w:rFonts w:ascii="Times New Roman" w:eastAsia="Times New Roman" w:hAnsi="Times New Roman" w:cs="Times New Roman"/>
          <w:color w:val="2E74B5" w:themeColor="accent1" w:themeShade="BF"/>
          <w:sz w:val="27"/>
          <w:szCs w:val="27"/>
          <w:highlight w:val="yellow"/>
          <w:lang w:eastAsia="en-GB"/>
        </w:rPr>
        <w:t xml:space="preserve">, 2 </w:t>
      </w:r>
      <w:proofErr w:type="spellStart"/>
      <w:r w:rsidRPr="001407D3">
        <w:rPr>
          <w:rFonts w:ascii="Times New Roman" w:eastAsia="Times New Roman" w:hAnsi="Times New Roman" w:cs="Times New Roman"/>
          <w:color w:val="2E74B5" w:themeColor="accent1" w:themeShade="BF"/>
          <w:sz w:val="27"/>
          <w:szCs w:val="27"/>
          <w:highlight w:val="yellow"/>
          <w:lang w:eastAsia="en-GB"/>
        </w:rPr>
        <w:t>Kernan</w:t>
      </w:r>
      <w:proofErr w:type="spellEnd"/>
      <w:r w:rsidRPr="001407D3">
        <w:rPr>
          <w:rFonts w:ascii="Times New Roman" w:eastAsia="Times New Roman" w:hAnsi="Times New Roman" w:cs="Times New Roman"/>
          <w:color w:val="2E74B5" w:themeColor="accent1" w:themeShade="BF"/>
          <w:sz w:val="27"/>
          <w:szCs w:val="27"/>
          <w:highlight w:val="yellow"/>
          <w:lang w:eastAsia="en-GB"/>
        </w:rPr>
        <w:t xml:space="preserve"> 178 Parker J. said:</w:t>
      </w:r>
    </w:p>
    <w:p w:rsidR="00A013C1" w:rsidRPr="00C46687" w:rsidRDefault="00A013C1" w:rsidP="00A013C1">
      <w:pPr>
        <w:spacing w:after="0" w:line="240" w:lineRule="auto"/>
        <w:ind w:left="720"/>
        <w:rPr>
          <w:rFonts w:ascii="Times New Roman" w:eastAsia="Times New Roman" w:hAnsi="Times New Roman" w:cs="Times New Roman"/>
          <w:color w:val="2E74B5" w:themeColor="accent1" w:themeShade="BF"/>
          <w:sz w:val="27"/>
          <w:szCs w:val="27"/>
          <w:lang w:eastAsia="en-GB"/>
        </w:rPr>
      </w:pPr>
      <w:r w:rsidRPr="001407D3">
        <w:rPr>
          <w:rFonts w:ascii="Times New Roman" w:eastAsia="Times New Roman" w:hAnsi="Times New Roman" w:cs="Times New Roman"/>
          <w:color w:val="2E74B5" w:themeColor="accent1" w:themeShade="BF"/>
          <w:sz w:val="27"/>
          <w:szCs w:val="27"/>
          <w:highlight w:val="yellow"/>
          <w:lang w:eastAsia="en-GB"/>
        </w:rPr>
        <w:t> "A thing may be as firmly fixed to the land by gravitation as by clamps or cement. Its character may depend upon the object of its erection."</w:t>
      </w:r>
    </w:p>
    <w:p w:rsidR="00A013C1" w:rsidRPr="001407D3" w:rsidRDefault="00A013C1" w:rsidP="00A013C1">
      <w:pPr>
        <w:spacing w:before="100" w:beforeAutospacing="1" w:after="100" w:afterAutospacing="1" w:line="240" w:lineRule="auto"/>
        <w:rPr>
          <w:rFonts w:ascii="Times New Roman" w:eastAsia="Times New Roman" w:hAnsi="Times New Roman" w:cs="Times New Roman"/>
          <w:color w:val="2E74B5" w:themeColor="accent1" w:themeShade="BF"/>
          <w:sz w:val="27"/>
          <w:szCs w:val="27"/>
          <w:highlight w:val="yellow"/>
          <w:lang w:eastAsia="en-GB"/>
        </w:rPr>
      </w:pPr>
      <w:r w:rsidRPr="001407D3">
        <w:rPr>
          <w:rFonts w:ascii="Times New Roman" w:eastAsia="Times New Roman" w:hAnsi="Times New Roman" w:cs="Times New Roman"/>
          <w:color w:val="2E74B5" w:themeColor="accent1" w:themeShade="BF"/>
          <w:sz w:val="27"/>
          <w:szCs w:val="27"/>
          <w:highlight w:val="yellow"/>
          <w:lang w:eastAsia="en-GB"/>
        </w:rPr>
        <w:t>In </w:t>
      </w:r>
      <w:r w:rsidRPr="001407D3">
        <w:rPr>
          <w:rFonts w:ascii="Times New Roman" w:eastAsia="Times New Roman" w:hAnsi="Times New Roman" w:cs="Times New Roman"/>
          <w:i/>
          <w:iCs/>
          <w:color w:val="2E74B5" w:themeColor="accent1" w:themeShade="BF"/>
          <w:sz w:val="27"/>
          <w:szCs w:val="27"/>
          <w:highlight w:val="yellow"/>
          <w:lang w:eastAsia="en-GB"/>
        </w:rPr>
        <w:t>Goff v. O'Conner</w:t>
      </w:r>
      <w:r w:rsidRPr="001407D3">
        <w:rPr>
          <w:rFonts w:ascii="Times New Roman" w:eastAsia="Times New Roman" w:hAnsi="Times New Roman" w:cs="Times New Roman"/>
          <w:color w:val="2E74B5" w:themeColor="accent1" w:themeShade="BF"/>
          <w:sz w:val="27"/>
          <w:szCs w:val="27"/>
          <w:highlight w:val="yellow"/>
          <w:lang w:eastAsia="en-GB"/>
        </w:rPr>
        <w:t>, 16 Ill. 422, the court said:</w:t>
      </w:r>
    </w:p>
    <w:p w:rsidR="00A013C1" w:rsidRPr="00C46687" w:rsidRDefault="00A013C1" w:rsidP="00A013C1">
      <w:pPr>
        <w:spacing w:after="0" w:line="240" w:lineRule="auto"/>
        <w:ind w:left="720"/>
        <w:rPr>
          <w:rFonts w:ascii="Times New Roman" w:eastAsia="Times New Roman" w:hAnsi="Times New Roman" w:cs="Times New Roman"/>
          <w:color w:val="2E74B5" w:themeColor="accent1" w:themeShade="BF"/>
          <w:sz w:val="27"/>
          <w:szCs w:val="27"/>
          <w:lang w:eastAsia="en-GB"/>
        </w:rPr>
      </w:pPr>
      <w:r w:rsidRPr="001407D3">
        <w:rPr>
          <w:rFonts w:ascii="Times New Roman" w:eastAsia="Times New Roman" w:hAnsi="Times New Roman" w:cs="Times New Roman"/>
          <w:color w:val="2E74B5" w:themeColor="accent1" w:themeShade="BF"/>
          <w:sz w:val="27"/>
          <w:szCs w:val="27"/>
          <w:highlight w:val="yellow"/>
          <w:lang w:eastAsia="en-GB"/>
        </w:rPr>
        <w:t> "Houses in common intendment of the law are not fixtures, but part of the land. . . . This does not depend, in the case of houses, so much upon the particular mode of attaching, or fixing and connecting them with the land, upon which they stand or rest, as upon the uses and purposes for which they are erected and designed."</w:t>
      </w:r>
    </w:p>
    <w:p w:rsidR="00A013C1" w:rsidRPr="00C46687" w:rsidRDefault="00A013C1" w:rsidP="00A013C1">
      <w:pPr>
        <w:spacing w:before="100" w:beforeAutospacing="1" w:after="100" w:afterAutospacing="1" w:line="240" w:lineRule="auto"/>
        <w:rPr>
          <w:rFonts w:ascii="Times New Roman" w:eastAsia="Times New Roman" w:hAnsi="Times New Roman" w:cs="Times New Roman"/>
          <w:color w:val="2E74B5" w:themeColor="accent1" w:themeShade="BF"/>
          <w:sz w:val="27"/>
          <w:szCs w:val="27"/>
          <w:lang w:eastAsia="en-GB"/>
        </w:rPr>
      </w:pPr>
      <w:r w:rsidRPr="00C46687">
        <w:rPr>
          <w:rFonts w:ascii="Times New Roman" w:eastAsia="Times New Roman" w:hAnsi="Times New Roman" w:cs="Times New Roman"/>
          <w:i/>
          <w:iCs/>
          <w:color w:val="2E74B5" w:themeColor="accent1" w:themeShade="BF"/>
          <w:sz w:val="27"/>
          <w:szCs w:val="27"/>
          <w:lang w:eastAsia="en-GB"/>
        </w:rPr>
        <w:t>Purpose of annexation</w:t>
      </w:r>
    </w:p>
    <w:p w:rsidR="00A013C1" w:rsidRPr="00493E0D" w:rsidRDefault="00A013C1" w:rsidP="00A013C1">
      <w:pPr>
        <w:spacing w:before="100" w:beforeAutospacing="1" w:after="100" w:afterAutospacing="1" w:line="240" w:lineRule="auto"/>
        <w:rPr>
          <w:rFonts w:ascii="Times New Roman" w:eastAsia="Times New Roman" w:hAnsi="Times New Roman" w:cs="Times New Roman"/>
          <w:color w:val="2E74B5" w:themeColor="accent1" w:themeShade="BF"/>
          <w:sz w:val="27"/>
          <w:szCs w:val="27"/>
          <w:highlight w:val="yellow"/>
          <w:lang w:eastAsia="en-GB"/>
        </w:rPr>
      </w:pPr>
      <w:r w:rsidRPr="00C46687">
        <w:rPr>
          <w:rFonts w:ascii="Times New Roman" w:eastAsia="Times New Roman" w:hAnsi="Times New Roman" w:cs="Times New Roman"/>
          <w:color w:val="2E74B5" w:themeColor="accent1" w:themeShade="BF"/>
          <w:sz w:val="27"/>
          <w:szCs w:val="27"/>
          <w:lang w:eastAsia="en-GB"/>
        </w:rPr>
        <w:t>      Many different tests have been suggested, such as whether the object which has been fixed to the property has been so fixed for the better enjoyment of the object as a chattel, or whether it has been fixed with a view to effecting a permanent improvement of the freehold. This and similar tests are useful when one is considering an object such as a tapestry, which may or may not be fixed to a house so as to become part of the freehold: see </w:t>
      </w:r>
      <w:r w:rsidRPr="00C46687">
        <w:rPr>
          <w:rFonts w:ascii="Times New Roman" w:eastAsia="Times New Roman" w:hAnsi="Times New Roman" w:cs="Times New Roman"/>
          <w:i/>
          <w:iCs/>
          <w:color w:val="2E74B5" w:themeColor="accent1" w:themeShade="BF"/>
          <w:sz w:val="27"/>
          <w:szCs w:val="27"/>
          <w:lang w:eastAsia="en-GB"/>
        </w:rPr>
        <w:t>Leigh v. Taylor</w:t>
      </w:r>
      <w:r w:rsidRPr="00C46687">
        <w:rPr>
          <w:rFonts w:ascii="Times New Roman" w:eastAsia="Times New Roman" w:hAnsi="Times New Roman" w:cs="Times New Roman"/>
          <w:color w:val="2E74B5" w:themeColor="accent1" w:themeShade="BF"/>
          <w:sz w:val="27"/>
          <w:szCs w:val="27"/>
          <w:lang w:eastAsia="en-GB"/>
        </w:rPr>
        <w:t> </w:t>
      </w:r>
      <w:hyperlink r:id="rId9" w:tooltip="Link to BAILII version" w:history="1">
        <w:r w:rsidRPr="00C46687">
          <w:rPr>
            <w:rFonts w:ascii="Times New Roman" w:eastAsia="Times New Roman" w:hAnsi="Times New Roman" w:cs="Times New Roman"/>
            <w:color w:val="2E74B5" w:themeColor="accent1" w:themeShade="BF"/>
            <w:sz w:val="27"/>
            <w:szCs w:val="27"/>
            <w:u w:val="single"/>
            <w:lang w:eastAsia="en-GB"/>
          </w:rPr>
          <w:t>[1902] AC 157</w:t>
        </w:r>
      </w:hyperlink>
      <w:r w:rsidRPr="00C46687">
        <w:rPr>
          <w:rFonts w:ascii="Times New Roman" w:eastAsia="Times New Roman" w:hAnsi="Times New Roman" w:cs="Times New Roman"/>
          <w:color w:val="2E74B5" w:themeColor="accent1" w:themeShade="BF"/>
          <w:sz w:val="27"/>
          <w:szCs w:val="27"/>
          <w:lang w:eastAsia="en-GB"/>
        </w:rPr>
        <w:t xml:space="preserve">. These tests are less useful when one is considering the house itself. </w:t>
      </w:r>
      <w:r w:rsidRPr="00493E0D">
        <w:rPr>
          <w:rFonts w:ascii="Times New Roman" w:eastAsia="Times New Roman" w:hAnsi="Times New Roman" w:cs="Times New Roman"/>
          <w:color w:val="2E74B5" w:themeColor="accent1" w:themeShade="BF"/>
          <w:sz w:val="27"/>
          <w:szCs w:val="27"/>
          <w:highlight w:val="yellow"/>
          <w:lang w:eastAsia="en-GB"/>
        </w:rPr>
        <w:t>In the case of the house the answer is as much a matter of common sense as precise analysis. A house which is constructed in such a way so as to be removable, whether as a unit, or in sections, may well remain a chattel, even though it is connected temporarily to mains services such as water and electricity. But a house which is constructed in such a way that it cannot be removed at all, save by destruction, cannot have been intended to remain as a chattel. It must have been intended to form part of the realty. I know of no better analogy than the example given by Blackburn J. in </w:t>
      </w:r>
      <w:r w:rsidRPr="00493E0D">
        <w:rPr>
          <w:rFonts w:ascii="Times New Roman" w:eastAsia="Times New Roman" w:hAnsi="Times New Roman" w:cs="Times New Roman"/>
          <w:i/>
          <w:iCs/>
          <w:color w:val="2E74B5" w:themeColor="accent1" w:themeShade="BF"/>
          <w:sz w:val="27"/>
          <w:szCs w:val="27"/>
          <w:highlight w:val="yellow"/>
          <w:lang w:eastAsia="en-GB"/>
        </w:rPr>
        <w:t>Holland v. Hodgson</w:t>
      </w:r>
      <w:r w:rsidRPr="00493E0D">
        <w:rPr>
          <w:rFonts w:ascii="Times New Roman" w:eastAsia="Times New Roman" w:hAnsi="Times New Roman" w:cs="Times New Roman"/>
          <w:color w:val="2E74B5" w:themeColor="accent1" w:themeShade="BF"/>
          <w:sz w:val="27"/>
          <w:szCs w:val="27"/>
          <w:highlight w:val="yellow"/>
          <w:lang w:eastAsia="en-GB"/>
        </w:rPr>
        <w:t>, L.R.7 C.P.P. 328, 335:</w:t>
      </w:r>
    </w:p>
    <w:p w:rsidR="00A013C1" w:rsidRPr="00C46687" w:rsidRDefault="00A013C1" w:rsidP="00A013C1">
      <w:pPr>
        <w:spacing w:after="0" w:line="240" w:lineRule="auto"/>
        <w:ind w:left="720"/>
        <w:rPr>
          <w:rFonts w:ascii="Times New Roman" w:eastAsia="Times New Roman" w:hAnsi="Times New Roman" w:cs="Times New Roman"/>
          <w:color w:val="2E74B5" w:themeColor="accent1" w:themeShade="BF"/>
          <w:sz w:val="27"/>
          <w:szCs w:val="27"/>
          <w:lang w:eastAsia="en-GB"/>
        </w:rPr>
      </w:pPr>
      <w:r w:rsidRPr="00493E0D">
        <w:rPr>
          <w:rFonts w:ascii="Times New Roman" w:eastAsia="Times New Roman" w:hAnsi="Times New Roman" w:cs="Times New Roman"/>
          <w:color w:val="2E74B5" w:themeColor="accent1" w:themeShade="BF"/>
          <w:sz w:val="27"/>
          <w:szCs w:val="27"/>
          <w:highlight w:val="yellow"/>
          <w:lang w:eastAsia="en-GB"/>
        </w:rPr>
        <w:t> "Thus blocks of stone placed one on the top of another without any mortar or cement for the purpose of forming a dry stone wall would become part of the land, though the same stones, if deposited in a builder's yard and for convenience sake stacked on the top of each other in the form of a wall, would remain chattels."</w:t>
      </w:r>
    </w:p>
    <w:p w:rsidR="00A013C1" w:rsidRPr="00C46687" w:rsidRDefault="00A013C1" w:rsidP="00A013C1">
      <w:pPr>
        <w:spacing w:before="100" w:beforeAutospacing="1" w:after="100" w:afterAutospacing="1" w:line="240" w:lineRule="auto"/>
        <w:rPr>
          <w:rFonts w:ascii="Times New Roman" w:eastAsia="Times New Roman" w:hAnsi="Times New Roman" w:cs="Times New Roman"/>
          <w:color w:val="2E74B5" w:themeColor="accent1" w:themeShade="BF"/>
          <w:sz w:val="27"/>
          <w:szCs w:val="27"/>
          <w:lang w:eastAsia="en-GB"/>
        </w:rPr>
      </w:pPr>
      <w:r w:rsidRPr="00C46687">
        <w:rPr>
          <w:rFonts w:ascii="Times New Roman" w:eastAsia="Times New Roman" w:hAnsi="Times New Roman" w:cs="Times New Roman"/>
          <w:color w:val="2E74B5" w:themeColor="accent1" w:themeShade="BF"/>
          <w:sz w:val="27"/>
          <w:szCs w:val="27"/>
          <w:lang w:eastAsia="en-GB"/>
        </w:rPr>
        <w:lastRenderedPageBreak/>
        <w:t>Applying that analogy to the present case, I do not doubt that when Mr. Morris' bungalow was built, and as each of the timber frame walls were placed in position, they all became part of the structure, which was itself part and parcel of the land. The object of bringing the individual bits of wood onto the site seems to be so clear that the absence of any attachment to the soil (save by gravity) becomes an irrelevance.</w:t>
      </w:r>
    </w:p>
    <w:p w:rsidR="00A013C1" w:rsidRPr="00C46687" w:rsidRDefault="00A013C1" w:rsidP="00A013C1">
      <w:pPr>
        <w:spacing w:before="100" w:beforeAutospacing="1" w:after="100" w:afterAutospacing="1" w:line="240" w:lineRule="auto"/>
        <w:rPr>
          <w:rFonts w:ascii="Times New Roman" w:eastAsia="Times New Roman" w:hAnsi="Times New Roman" w:cs="Times New Roman"/>
          <w:color w:val="2E74B5" w:themeColor="accent1" w:themeShade="BF"/>
          <w:sz w:val="27"/>
          <w:szCs w:val="27"/>
          <w:lang w:eastAsia="en-GB"/>
        </w:rPr>
      </w:pPr>
      <w:r w:rsidRPr="00C46687">
        <w:rPr>
          <w:rFonts w:ascii="Times New Roman" w:eastAsia="Times New Roman" w:hAnsi="Times New Roman" w:cs="Times New Roman"/>
          <w:color w:val="2E74B5" w:themeColor="accent1" w:themeShade="BF"/>
          <w:sz w:val="27"/>
          <w:szCs w:val="27"/>
          <w:lang w:eastAsia="en-GB"/>
        </w:rPr>
        <w:t>      Finally I return to the judgment of the Court of Appeal. I need say no more about the absence of attachment, which was the first of the reasons given by the Court of Appeal for reversing the assistant recorder. The second reason was the intention which the court inferred from the previous course of dealing between the parties, and in particular the uncertainty of Mr. Morris' tenure. The third reason was the analogy with the shed in </w:t>
      </w:r>
      <w:r w:rsidRPr="00C46687">
        <w:rPr>
          <w:rFonts w:ascii="Times New Roman" w:eastAsia="Times New Roman" w:hAnsi="Times New Roman" w:cs="Times New Roman"/>
          <w:i/>
          <w:iCs/>
          <w:color w:val="2E74B5" w:themeColor="accent1" w:themeShade="BF"/>
          <w:sz w:val="27"/>
          <w:szCs w:val="27"/>
          <w:lang w:eastAsia="en-GB"/>
        </w:rPr>
        <w:t>Webb v. Frank Bevis Ltd.</w:t>
      </w:r>
      <w:r w:rsidRPr="00C46687">
        <w:rPr>
          <w:rFonts w:ascii="Times New Roman" w:eastAsia="Times New Roman" w:hAnsi="Times New Roman" w:cs="Times New Roman"/>
          <w:color w:val="2E74B5" w:themeColor="accent1" w:themeShade="BF"/>
          <w:sz w:val="27"/>
          <w:szCs w:val="27"/>
          <w:lang w:eastAsia="en-GB"/>
        </w:rPr>
        <w:t> [1940] 1 All E.R. 247, and the greenhouse in </w:t>
      </w:r>
      <w:r w:rsidRPr="00C46687">
        <w:rPr>
          <w:rFonts w:ascii="Times New Roman" w:eastAsia="Times New Roman" w:hAnsi="Times New Roman" w:cs="Times New Roman"/>
          <w:i/>
          <w:iCs/>
          <w:color w:val="2E74B5" w:themeColor="accent1" w:themeShade="BF"/>
          <w:sz w:val="27"/>
          <w:szCs w:val="27"/>
          <w:lang w:eastAsia="en-GB"/>
        </w:rPr>
        <w:t>Deen v. Andrews</w:t>
      </w:r>
      <w:r w:rsidRPr="00C46687">
        <w:rPr>
          <w:rFonts w:ascii="Times New Roman" w:eastAsia="Times New Roman" w:hAnsi="Times New Roman" w:cs="Times New Roman"/>
          <w:color w:val="2E74B5" w:themeColor="accent1" w:themeShade="BF"/>
          <w:sz w:val="27"/>
          <w:szCs w:val="27"/>
          <w:lang w:eastAsia="en-GB"/>
        </w:rPr>
        <w:t> [1986] 1 E.G.L.R. 262.</w:t>
      </w:r>
    </w:p>
    <w:p w:rsidR="00A013C1" w:rsidRPr="00C46687" w:rsidRDefault="00A013C1" w:rsidP="00A013C1">
      <w:pPr>
        <w:spacing w:before="100" w:beforeAutospacing="1" w:after="100" w:afterAutospacing="1" w:line="240" w:lineRule="auto"/>
        <w:rPr>
          <w:rFonts w:ascii="Times New Roman" w:eastAsia="Times New Roman" w:hAnsi="Times New Roman" w:cs="Times New Roman"/>
          <w:color w:val="2E74B5" w:themeColor="accent1" w:themeShade="BF"/>
          <w:sz w:val="27"/>
          <w:szCs w:val="27"/>
          <w:lang w:eastAsia="en-GB"/>
        </w:rPr>
      </w:pPr>
      <w:r w:rsidRPr="00C46687">
        <w:rPr>
          <w:rFonts w:ascii="Times New Roman" w:eastAsia="Times New Roman" w:hAnsi="Times New Roman" w:cs="Times New Roman"/>
          <w:color w:val="2E74B5" w:themeColor="accent1" w:themeShade="BF"/>
          <w:sz w:val="27"/>
          <w:szCs w:val="27"/>
          <w:lang w:eastAsia="en-GB"/>
        </w:rPr>
        <w:t xml:space="preserve">      As to the second reason the Court of Appeal may have been misled by Blackburn J.'s. </w:t>
      </w:r>
      <w:proofErr w:type="gramStart"/>
      <w:r w:rsidRPr="00C46687">
        <w:rPr>
          <w:rFonts w:ascii="Times New Roman" w:eastAsia="Times New Roman" w:hAnsi="Times New Roman" w:cs="Times New Roman"/>
          <w:color w:val="2E74B5" w:themeColor="accent1" w:themeShade="BF"/>
          <w:sz w:val="27"/>
          <w:szCs w:val="27"/>
          <w:lang w:eastAsia="en-GB"/>
        </w:rPr>
        <w:t>use</w:t>
      </w:r>
      <w:proofErr w:type="gramEnd"/>
      <w:r w:rsidRPr="00C46687">
        <w:rPr>
          <w:rFonts w:ascii="Times New Roman" w:eastAsia="Times New Roman" w:hAnsi="Times New Roman" w:cs="Times New Roman"/>
          <w:color w:val="2E74B5" w:themeColor="accent1" w:themeShade="BF"/>
          <w:sz w:val="27"/>
          <w:szCs w:val="27"/>
          <w:lang w:eastAsia="en-GB"/>
        </w:rPr>
        <w:t xml:space="preserve"> of the word "intention" in </w:t>
      </w:r>
      <w:r w:rsidRPr="00C46687">
        <w:rPr>
          <w:rFonts w:ascii="Times New Roman" w:eastAsia="Times New Roman" w:hAnsi="Times New Roman" w:cs="Times New Roman"/>
          <w:i/>
          <w:iCs/>
          <w:color w:val="2E74B5" w:themeColor="accent1" w:themeShade="BF"/>
          <w:sz w:val="27"/>
          <w:szCs w:val="27"/>
          <w:lang w:eastAsia="en-GB"/>
        </w:rPr>
        <w:t>Holland v. Hodgson</w:t>
      </w:r>
      <w:r w:rsidRPr="00C46687">
        <w:rPr>
          <w:rFonts w:ascii="Times New Roman" w:eastAsia="Times New Roman" w:hAnsi="Times New Roman" w:cs="Times New Roman"/>
          <w:color w:val="2E74B5" w:themeColor="accent1" w:themeShade="BF"/>
          <w:sz w:val="27"/>
          <w:szCs w:val="27"/>
          <w:lang w:eastAsia="en-GB"/>
        </w:rPr>
        <w:t>, L.R.7 C.P. 328. But as the subsequent decision of the Court of Appeal in </w:t>
      </w:r>
      <w:r w:rsidRPr="00C46687">
        <w:rPr>
          <w:rFonts w:ascii="Times New Roman" w:eastAsia="Times New Roman" w:hAnsi="Times New Roman" w:cs="Times New Roman"/>
          <w:i/>
          <w:iCs/>
          <w:color w:val="2E74B5" w:themeColor="accent1" w:themeShade="BF"/>
          <w:sz w:val="27"/>
          <w:szCs w:val="27"/>
          <w:lang w:eastAsia="en-GB"/>
        </w:rPr>
        <w:t xml:space="preserve">Hobson v. </w:t>
      </w:r>
      <w:proofErr w:type="spellStart"/>
      <w:r w:rsidRPr="00C46687">
        <w:rPr>
          <w:rFonts w:ascii="Times New Roman" w:eastAsia="Times New Roman" w:hAnsi="Times New Roman" w:cs="Times New Roman"/>
          <w:i/>
          <w:iCs/>
          <w:color w:val="2E74B5" w:themeColor="accent1" w:themeShade="BF"/>
          <w:sz w:val="27"/>
          <w:szCs w:val="27"/>
          <w:lang w:eastAsia="en-GB"/>
        </w:rPr>
        <w:t>Gorringe</w:t>
      </w:r>
      <w:proofErr w:type="spellEnd"/>
      <w:r w:rsidRPr="00C46687">
        <w:rPr>
          <w:rFonts w:ascii="Times New Roman" w:eastAsia="Times New Roman" w:hAnsi="Times New Roman" w:cs="Times New Roman"/>
          <w:color w:val="2E74B5" w:themeColor="accent1" w:themeShade="BF"/>
          <w:sz w:val="27"/>
          <w:szCs w:val="27"/>
          <w:lang w:eastAsia="en-GB"/>
        </w:rPr>
        <w:t> </w:t>
      </w:r>
      <w:hyperlink r:id="rId10" w:tooltip="Link to BAILII version" w:history="1">
        <w:r w:rsidRPr="00C46687">
          <w:rPr>
            <w:rFonts w:ascii="Times New Roman" w:eastAsia="Times New Roman" w:hAnsi="Times New Roman" w:cs="Times New Roman"/>
            <w:color w:val="2E74B5" w:themeColor="accent1" w:themeShade="BF"/>
            <w:sz w:val="27"/>
            <w:szCs w:val="27"/>
            <w:u w:val="single"/>
            <w:lang w:eastAsia="en-GB"/>
          </w:rPr>
          <w:t xml:space="preserve">[1897] 1 </w:t>
        </w:r>
        <w:proofErr w:type="spellStart"/>
        <w:r w:rsidRPr="00C46687">
          <w:rPr>
            <w:rFonts w:ascii="Times New Roman" w:eastAsia="Times New Roman" w:hAnsi="Times New Roman" w:cs="Times New Roman"/>
            <w:color w:val="2E74B5" w:themeColor="accent1" w:themeShade="BF"/>
            <w:sz w:val="27"/>
            <w:szCs w:val="27"/>
            <w:u w:val="single"/>
            <w:lang w:eastAsia="en-GB"/>
          </w:rPr>
          <w:t>Ch</w:t>
        </w:r>
        <w:proofErr w:type="spellEnd"/>
        <w:r w:rsidRPr="00C46687">
          <w:rPr>
            <w:rFonts w:ascii="Times New Roman" w:eastAsia="Times New Roman" w:hAnsi="Times New Roman" w:cs="Times New Roman"/>
            <w:color w:val="2E74B5" w:themeColor="accent1" w:themeShade="BF"/>
            <w:sz w:val="27"/>
            <w:szCs w:val="27"/>
            <w:u w:val="single"/>
            <w:lang w:eastAsia="en-GB"/>
          </w:rPr>
          <w:t xml:space="preserve"> 182</w:t>
        </w:r>
      </w:hyperlink>
      <w:r w:rsidRPr="00C46687">
        <w:rPr>
          <w:rFonts w:ascii="Times New Roman" w:eastAsia="Times New Roman" w:hAnsi="Times New Roman" w:cs="Times New Roman"/>
          <w:color w:val="2E74B5" w:themeColor="accent1" w:themeShade="BF"/>
          <w:sz w:val="27"/>
          <w:szCs w:val="27"/>
          <w:lang w:eastAsia="en-GB"/>
        </w:rPr>
        <w:t> made clear, and as the decision of the House in </w:t>
      </w:r>
      <w:proofErr w:type="spellStart"/>
      <w:r w:rsidRPr="00493E0D">
        <w:rPr>
          <w:rFonts w:ascii="Times New Roman" w:eastAsia="Times New Roman" w:hAnsi="Times New Roman" w:cs="Times New Roman"/>
          <w:i/>
          <w:iCs/>
          <w:color w:val="2E74B5" w:themeColor="accent1" w:themeShade="BF"/>
          <w:sz w:val="27"/>
          <w:szCs w:val="27"/>
          <w:highlight w:val="yellow"/>
          <w:lang w:eastAsia="en-GB"/>
        </w:rPr>
        <w:t>Melluish</w:t>
      </w:r>
      <w:proofErr w:type="spellEnd"/>
      <w:r w:rsidRPr="00493E0D">
        <w:rPr>
          <w:rFonts w:ascii="Times New Roman" w:eastAsia="Times New Roman" w:hAnsi="Times New Roman" w:cs="Times New Roman"/>
          <w:i/>
          <w:iCs/>
          <w:color w:val="2E74B5" w:themeColor="accent1" w:themeShade="BF"/>
          <w:sz w:val="27"/>
          <w:szCs w:val="27"/>
          <w:highlight w:val="yellow"/>
          <w:lang w:eastAsia="en-GB"/>
        </w:rPr>
        <w:t xml:space="preserve"> v. B.M.I. (No. 3) Ltd.</w:t>
      </w:r>
      <w:r w:rsidRPr="00493E0D">
        <w:rPr>
          <w:rFonts w:ascii="Times New Roman" w:eastAsia="Times New Roman" w:hAnsi="Times New Roman" w:cs="Times New Roman"/>
          <w:color w:val="2E74B5" w:themeColor="accent1" w:themeShade="BF"/>
          <w:sz w:val="27"/>
          <w:szCs w:val="27"/>
          <w:highlight w:val="yellow"/>
          <w:lang w:eastAsia="en-GB"/>
        </w:rPr>
        <w:t> [1996] A.C. 454 put beyond question, the intention of the parties is only relevant to the extent that it can be derived from the degree and object of the annexation. The subjective intention of the parties cannot affect the question whether the chattel has, in law, become part of the freehold, any more than the subjective intention of the parties can prevent what they have called a licence from taking effect as a tenancy, if that is what in law it is: see </w:t>
      </w:r>
      <w:r w:rsidRPr="00493E0D">
        <w:rPr>
          <w:rFonts w:ascii="Times New Roman" w:eastAsia="Times New Roman" w:hAnsi="Times New Roman" w:cs="Times New Roman"/>
          <w:i/>
          <w:iCs/>
          <w:color w:val="2E74B5" w:themeColor="accent1" w:themeShade="BF"/>
          <w:sz w:val="27"/>
          <w:szCs w:val="27"/>
          <w:highlight w:val="yellow"/>
          <w:lang w:eastAsia="en-GB"/>
        </w:rPr>
        <w:t>Street v. Mountford</w:t>
      </w:r>
      <w:r w:rsidRPr="00493E0D">
        <w:rPr>
          <w:rFonts w:ascii="Times New Roman" w:eastAsia="Times New Roman" w:hAnsi="Times New Roman" w:cs="Times New Roman"/>
          <w:color w:val="2E74B5" w:themeColor="accent1" w:themeShade="BF"/>
          <w:sz w:val="27"/>
          <w:szCs w:val="27"/>
          <w:highlight w:val="yellow"/>
          <w:lang w:eastAsia="en-GB"/>
        </w:rPr>
        <w:t> </w:t>
      </w:r>
      <w:hyperlink r:id="rId11" w:tooltip="Link to BAILII version" w:history="1">
        <w:r w:rsidRPr="00493E0D">
          <w:rPr>
            <w:rFonts w:ascii="Times New Roman" w:eastAsia="Times New Roman" w:hAnsi="Times New Roman" w:cs="Times New Roman"/>
            <w:color w:val="2E74B5" w:themeColor="accent1" w:themeShade="BF"/>
            <w:sz w:val="27"/>
            <w:szCs w:val="27"/>
            <w:highlight w:val="yellow"/>
            <w:u w:val="single"/>
            <w:lang w:eastAsia="en-GB"/>
          </w:rPr>
          <w:t>[1985] AC 809</w:t>
        </w:r>
      </w:hyperlink>
      <w:r w:rsidRPr="00493E0D">
        <w:rPr>
          <w:rFonts w:ascii="Times New Roman" w:eastAsia="Times New Roman" w:hAnsi="Times New Roman" w:cs="Times New Roman"/>
          <w:color w:val="2E74B5" w:themeColor="accent1" w:themeShade="BF"/>
          <w:sz w:val="27"/>
          <w:szCs w:val="27"/>
          <w:highlight w:val="yellow"/>
          <w:lang w:eastAsia="en-GB"/>
        </w:rPr>
        <w:t>.</w:t>
      </w:r>
    </w:p>
    <w:p w:rsidR="00A013C1" w:rsidRPr="00C46687" w:rsidRDefault="00A013C1" w:rsidP="00A013C1">
      <w:pPr>
        <w:spacing w:before="100" w:beforeAutospacing="1" w:after="100" w:afterAutospacing="1" w:line="240" w:lineRule="auto"/>
        <w:rPr>
          <w:rFonts w:ascii="Times New Roman" w:eastAsia="Times New Roman" w:hAnsi="Times New Roman" w:cs="Times New Roman"/>
          <w:color w:val="2E74B5" w:themeColor="accent1" w:themeShade="BF"/>
          <w:sz w:val="27"/>
          <w:szCs w:val="27"/>
          <w:lang w:eastAsia="en-GB"/>
        </w:rPr>
      </w:pPr>
      <w:r w:rsidRPr="00C46687">
        <w:rPr>
          <w:rFonts w:ascii="Times New Roman" w:eastAsia="Times New Roman" w:hAnsi="Times New Roman" w:cs="Times New Roman"/>
          <w:color w:val="2E74B5" w:themeColor="accent1" w:themeShade="BF"/>
          <w:sz w:val="27"/>
          <w:szCs w:val="27"/>
          <w:lang w:eastAsia="en-GB"/>
        </w:rPr>
        <w:t>      As for the third of the reasons, I have already pointed out that </w:t>
      </w:r>
      <w:r w:rsidRPr="00C46687">
        <w:rPr>
          <w:rFonts w:ascii="Times New Roman" w:eastAsia="Times New Roman" w:hAnsi="Times New Roman" w:cs="Times New Roman"/>
          <w:i/>
          <w:iCs/>
          <w:color w:val="2E74B5" w:themeColor="accent1" w:themeShade="BF"/>
          <w:sz w:val="27"/>
          <w:szCs w:val="27"/>
          <w:lang w:eastAsia="en-GB"/>
        </w:rPr>
        <w:t>Webb v. Frank Bevis Ltd.</w:t>
      </w:r>
      <w:r w:rsidRPr="00C46687">
        <w:rPr>
          <w:rFonts w:ascii="Times New Roman" w:eastAsia="Times New Roman" w:hAnsi="Times New Roman" w:cs="Times New Roman"/>
          <w:color w:val="2E74B5" w:themeColor="accent1" w:themeShade="BF"/>
          <w:sz w:val="27"/>
          <w:szCs w:val="27"/>
          <w:lang w:eastAsia="en-GB"/>
        </w:rPr>
        <w:t> does not support the Court of Appeal's conclusion, because the shed in that case was held to be a fixture, albeit a fixture which the tenant was entitled to remove.</w:t>
      </w:r>
    </w:p>
    <w:p w:rsidR="00A013C1" w:rsidRPr="00C46687" w:rsidRDefault="00A013C1" w:rsidP="00A013C1">
      <w:pPr>
        <w:spacing w:before="100" w:beforeAutospacing="1" w:after="100" w:afterAutospacing="1" w:line="240" w:lineRule="auto"/>
        <w:rPr>
          <w:rFonts w:ascii="Times New Roman" w:eastAsia="Times New Roman" w:hAnsi="Times New Roman" w:cs="Times New Roman"/>
          <w:color w:val="2E74B5" w:themeColor="accent1" w:themeShade="BF"/>
          <w:sz w:val="27"/>
          <w:szCs w:val="27"/>
          <w:lang w:eastAsia="en-GB"/>
        </w:rPr>
      </w:pPr>
      <w:r w:rsidRPr="00C46687">
        <w:rPr>
          <w:rFonts w:ascii="Times New Roman" w:eastAsia="Times New Roman" w:hAnsi="Times New Roman" w:cs="Times New Roman"/>
          <w:color w:val="2E74B5" w:themeColor="accent1" w:themeShade="BF"/>
          <w:sz w:val="27"/>
          <w:szCs w:val="27"/>
          <w:lang w:eastAsia="en-GB"/>
        </w:rPr>
        <w:t>      In </w:t>
      </w:r>
      <w:r w:rsidRPr="00C46687">
        <w:rPr>
          <w:rFonts w:ascii="Times New Roman" w:eastAsia="Times New Roman" w:hAnsi="Times New Roman" w:cs="Times New Roman"/>
          <w:i/>
          <w:iCs/>
          <w:color w:val="2E74B5" w:themeColor="accent1" w:themeShade="BF"/>
          <w:sz w:val="27"/>
          <w:szCs w:val="27"/>
          <w:lang w:eastAsia="en-GB"/>
        </w:rPr>
        <w:t>Deen v. Andrews</w:t>
      </w:r>
      <w:r w:rsidRPr="00C46687">
        <w:rPr>
          <w:rFonts w:ascii="Times New Roman" w:eastAsia="Times New Roman" w:hAnsi="Times New Roman" w:cs="Times New Roman"/>
          <w:color w:val="2E74B5" w:themeColor="accent1" w:themeShade="BF"/>
          <w:sz w:val="27"/>
          <w:szCs w:val="27"/>
          <w:lang w:eastAsia="en-GB"/>
        </w:rPr>
        <w:t> the question was whether a greenhouse was a building so as to pass to the purchaser under a contract for the sale of land "together with the farmhouses and other buildings." Hirst J. held that it was not. He followed an earlier decision in </w:t>
      </w:r>
      <w:r w:rsidRPr="00C46687">
        <w:rPr>
          <w:rFonts w:ascii="Times New Roman" w:eastAsia="Times New Roman" w:hAnsi="Times New Roman" w:cs="Times New Roman"/>
          <w:i/>
          <w:iCs/>
          <w:color w:val="2E74B5" w:themeColor="accent1" w:themeShade="BF"/>
          <w:sz w:val="27"/>
          <w:szCs w:val="27"/>
          <w:lang w:eastAsia="en-GB"/>
        </w:rPr>
        <w:t>H.E. Dibble Ltd. v. Moore</w:t>
      </w:r>
      <w:r w:rsidRPr="00C46687">
        <w:rPr>
          <w:rFonts w:ascii="Times New Roman" w:eastAsia="Times New Roman" w:hAnsi="Times New Roman" w:cs="Times New Roman"/>
          <w:color w:val="2E74B5" w:themeColor="accent1" w:themeShade="BF"/>
          <w:sz w:val="27"/>
          <w:szCs w:val="27"/>
          <w:lang w:eastAsia="en-GB"/>
        </w:rPr>
        <w:t> [1970] 2 Q.B. 181 in which the Court of Appeal, reversing the trial judge, held that a greenhouse was not an "erection" within section 62(1) of the Law of Property Act 1925</w:t>
      </w:r>
      <w:r w:rsidRPr="00407BD0">
        <w:rPr>
          <w:rFonts w:ascii="Times New Roman" w:eastAsia="Times New Roman" w:hAnsi="Times New Roman" w:cs="Times New Roman"/>
          <w:color w:val="2E74B5" w:themeColor="accent1" w:themeShade="BF"/>
          <w:sz w:val="27"/>
          <w:szCs w:val="27"/>
          <w:highlight w:val="yellow"/>
          <w:lang w:eastAsia="en-GB"/>
        </w:rPr>
        <w:t>. I note that in the latter case Megaw L.J., at p. 187G, drew attention to some evidence "that it was customary to move such greenhouses every few years to a fresh site." It is obvious that a greenhouse which can be moved from site to site is a long way removed from a two bedroom bungalow which cannot be moved at all without being demolished</w:t>
      </w:r>
      <w:r w:rsidRPr="00C46687">
        <w:rPr>
          <w:rFonts w:ascii="Times New Roman" w:eastAsia="Times New Roman" w:hAnsi="Times New Roman" w:cs="Times New Roman"/>
          <w:color w:val="2E74B5" w:themeColor="accent1" w:themeShade="BF"/>
          <w:sz w:val="27"/>
          <w:szCs w:val="27"/>
          <w:lang w:eastAsia="en-GB"/>
        </w:rPr>
        <w:t>.</w:t>
      </w:r>
    </w:p>
    <w:p w:rsidR="00A013C1" w:rsidRPr="00C46687" w:rsidRDefault="00A013C1" w:rsidP="00A013C1">
      <w:pPr>
        <w:spacing w:before="100" w:beforeAutospacing="1" w:after="100" w:afterAutospacing="1" w:line="240" w:lineRule="auto"/>
        <w:rPr>
          <w:rFonts w:ascii="Times New Roman" w:eastAsia="Times New Roman" w:hAnsi="Times New Roman" w:cs="Times New Roman"/>
          <w:color w:val="2E74B5" w:themeColor="accent1" w:themeShade="BF"/>
          <w:sz w:val="27"/>
          <w:szCs w:val="27"/>
          <w:lang w:eastAsia="en-GB"/>
        </w:rPr>
      </w:pPr>
      <w:r w:rsidRPr="00C46687">
        <w:rPr>
          <w:rFonts w:ascii="Times New Roman" w:eastAsia="Times New Roman" w:hAnsi="Times New Roman" w:cs="Times New Roman"/>
          <w:color w:val="2E74B5" w:themeColor="accent1" w:themeShade="BF"/>
          <w:sz w:val="27"/>
          <w:szCs w:val="27"/>
          <w:lang w:eastAsia="en-GB"/>
        </w:rPr>
        <w:t>      For the above reasons I would allow this appeal and restore the order of the assistant recorder.</w:t>
      </w:r>
    </w:p>
    <w:p w:rsidR="00A013C1" w:rsidRPr="00A013C1" w:rsidRDefault="00A013C1" w:rsidP="00A013C1">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A013C1">
        <w:rPr>
          <w:rFonts w:ascii="Times New Roman" w:eastAsia="Times New Roman" w:hAnsi="Times New Roman" w:cs="Times New Roman"/>
          <w:color w:val="000000"/>
          <w:sz w:val="27"/>
          <w:szCs w:val="27"/>
          <w:lang w:eastAsia="en-GB"/>
        </w:rPr>
        <w:lastRenderedPageBreak/>
        <w:br/>
      </w:r>
      <w:r w:rsidRPr="00A013C1">
        <w:rPr>
          <w:rFonts w:ascii="Times New Roman" w:eastAsia="Times New Roman" w:hAnsi="Times New Roman" w:cs="Times New Roman"/>
          <w:color w:val="000000"/>
          <w:sz w:val="27"/>
          <w:szCs w:val="27"/>
          <w:lang w:eastAsia="en-GB"/>
        </w:rPr>
        <w:br/>
      </w:r>
      <w:r w:rsidRPr="00A013C1">
        <w:rPr>
          <w:rFonts w:ascii="Times New Roman" w:eastAsia="Times New Roman" w:hAnsi="Times New Roman" w:cs="Times New Roman"/>
          <w:color w:val="000000"/>
          <w:sz w:val="27"/>
          <w:szCs w:val="27"/>
          <w:lang w:eastAsia="en-GB"/>
        </w:rPr>
        <w:br/>
        <w:t> </w:t>
      </w:r>
    </w:p>
    <w:p w:rsidR="00A013C1" w:rsidRPr="00407BD0" w:rsidRDefault="00A013C1" w:rsidP="00A013C1">
      <w:pPr>
        <w:spacing w:before="100" w:beforeAutospacing="1" w:after="100" w:afterAutospacing="1" w:line="240" w:lineRule="auto"/>
        <w:rPr>
          <w:rFonts w:ascii="Times New Roman" w:eastAsia="Times New Roman" w:hAnsi="Times New Roman" w:cs="Times New Roman"/>
          <w:color w:val="833C0B" w:themeColor="accent2" w:themeShade="80"/>
          <w:sz w:val="27"/>
          <w:szCs w:val="27"/>
          <w:lang w:eastAsia="en-GB"/>
        </w:rPr>
      </w:pPr>
      <w:r w:rsidRPr="00407BD0">
        <w:rPr>
          <w:rFonts w:ascii="Times New Roman" w:eastAsia="Times New Roman" w:hAnsi="Times New Roman" w:cs="Times New Roman"/>
          <w:b/>
          <w:bCs/>
          <w:color w:val="833C0B" w:themeColor="accent2" w:themeShade="80"/>
          <w:sz w:val="27"/>
          <w:szCs w:val="27"/>
          <w:lang w:eastAsia="en-GB"/>
        </w:rPr>
        <w:t>LORD NOLAN</w:t>
      </w:r>
    </w:p>
    <w:p w:rsidR="00A013C1" w:rsidRPr="00407BD0" w:rsidRDefault="00A013C1" w:rsidP="00A013C1">
      <w:pPr>
        <w:spacing w:before="100" w:beforeAutospacing="1" w:after="100" w:afterAutospacing="1" w:line="240" w:lineRule="auto"/>
        <w:rPr>
          <w:rFonts w:ascii="Times New Roman" w:eastAsia="Times New Roman" w:hAnsi="Times New Roman" w:cs="Times New Roman"/>
          <w:color w:val="833C0B" w:themeColor="accent2" w:themeShade="80"/>
          <w:sz w:val="27"/>
          <w:szCs w:val="27"/>
          <w:lang w:eastAsia="en-GB"/>
        </w:rPr>
      </w:pPr>
    </w:p>
    <w:p w:rsidR="00A013C1" w:rsidRPr="00407BD0" w:rsidRDefault="00A013C1" w:rsidP="00A013C1">
      <w:pPr>
        <w:spacing w:before="100" w:beforeAutospacing="1" w:after="100" w:afterAutospacing="1" w:line="240" w:lineRule="auto"/>
        <w:rPr>
          <w:rFonts w:ascii="Times New Roman" w:eastAsia="Times New Roman" w:hAnsi="Times New Roman" w:cs="Times New Roman"/>
          <w:color w:val="833C0B" w:themeColor="accent2" w:themeShade="80"/>
          <w:sz w:val="27"/>
          <w:szCs w:val="27"/>
          <w:lang w:eastAsia="en-GB"/>
        </w:rPr>
      </w:pPr>
      <w:r w:rsidRPr="00407BD0">
        <w:rPr>
          <w:rFonts w:ascii="Times New Roman" w:eastAsia="Times New Roman" w:hAnsi="Times New Roman" w:cs="Times New Roman"/>
          <w:color w:val="833C0B" w:themeColor="accent2" w:themeShade="80"/>
          <w:sz w:val="27"/>
          <w:szCs w:val="27"/>
          <w:lang w:eastAsia="en-GB"/>
        </w:rPr>
        <w:t>My Lords,</w:t>
      </w:r>
    </w:p>
    <w:p w:rsidR="00A013C1" w:rsidRPr="00407BD0" w:rsidRDefault="00A013C1" w:rsidP="00A013C1">
      <w:pPr>
        <w:spacing w:before="100" w:beforeAutospacing="1" w:after="100" w:afterAutospacing="1" w:line="240" w:lineRule="auto"/>
        <w:rPr>
          <w:rFonts w:ascii="Times New Roman" w:eastAsia="Times New Roman" w:hAnsi="Times New Roman" w:cs="Times New Roman"/>
          <w:color w:val="833C0B" w:themeColor="accent2" w:themeShade="80"/>
          <w:sz w:val="27"/>
          <w:szCs w:val="27"/>
          <w:lang w:eastAsia="en-GB"/>
        </w:rPr>
      </w:pPr>
      <w:r w:rsidRPr="00407BD0">
        <w:rPr>
          <w:rFonts w:ascii="Times New Roman" w:eastAsia="Times New Roman" w:hAnsi="Times New Roman" w:cs="Times New Roman"/>
          <w:color w:val="833C0B" w:themeColor="accent2" w:themeShade="80"/>
          <w:sz w:val="27"/>
          <w:szCs w:val="27"/>
          <w:lang w:eastAsia="en-GB"/>
        </w:rPr>
        <w:t>      I have had the advantage of reading in draft the speeches prepared by my noble and learned friends, Lord Lloyd of Berwick and Lord Clyde. For the reasons which they give I too would allow the appeal and restore the order of the assistant recorder.</w:t>
      </w:r>
    </w:p>
    <w:p w:rsidR="00A013C1" w:rsidRPr="00407BD0" w:rsidRDefault="00A013C1" w:rsidP="00A013C1">
      <w:pPr>
        <w:spacing w:before="100" w:beforeAutospacing="1" w:after="270" w:line="240" w:lineRule="auto"/>
        <w:rPr>
          <w:rFonts w:ascii="Times New Roman" w:eastAsia="Times New Roman" w:hAnsi="Times New Roman" w:cs="Times New Roman"/>
          <w:color w:val="833C0B" w:themeColor="accent2" w:themeShade="80"/>
          <w:sz w:val="27"/>
          <w:szCs w:val="27"/>
          <w:lang w:eastAsia="en-GB"/>
        </w:rPr>
      </w:pPr>
    </w:p>
    <w:p w:rsidR="00A013C1" w:rsidRPr="00407BD0" w:rsidRDefault="00A013C1" w:rsidP="00A013C1">
      <w:pPr>
        <w:spacing w:before="100" w:beforeAutospacing="1" w:after="100" w:afterAutospacing="1" w:line="240" w:lineRule="auto"/>
        <w:rPr>
          <w:rFonts w:ascii="Times New Roman" w:eastAsia="Times New Roman" w:hAnsi="Times New Roman" w:cs="Times New Roman"/>
          <w:color w:val="833C0B" w:themeColor="accent2" w:themeShade="80"/>
          <w:sz w:val="27"/>
          <w:szCs w:val="27"/>
          <w:lang w:eastAsia="en-GB"/>
        </w:rPr>
      </w:pPr>
      <w:r w:rsidRPr="00407BD0">
        <w:rPr>
          <w:rFonts w:ascii="Times New Roman" w:eastAsia="Times New Roman" w:hAnsi="Times New Roman" w:cs="Times New Roman"/>
          <w:b/>
          <w:bCs/>
          <w:color w:val="833C0B" w:themeColor="accent2" w:themeShade="80"/>
          <w:sz w:val="27"/>
          <w:szCs w:val="27"/>
          <w:lang w:eastAsia="en-GB"/>
        </w:rPr>
        <w:t>LORD NICHOLLS OF BIRKENHEAD</w:t>
      </w:r>
    </w:p>
    <w:p w:rsidR="00A013C1" w:rsidRPr="00407BD0" w:rsidRDefault="00A013C1" w:rsidP="00A013C1">
      <w:pPr>
        <w:spacing w:before="100" w:beforeAutospacing="1" w:after="100" w:afterAutospacing="1" w:line="240" w:lineRule="auto"/>
        <w:rPr>
          <w:rFonts w:ascii="Times New Roman" w:eastAsia="Times New Roman" w:hAnsi="Times New Roman" w:cs="Times New Roman"/>
          <w:color w:val="833C0B" w:themeColor="accent2" w:themeShade="80"/>
          <w:sz w:val="27"/>
          <w:szCs w:val="27"/>
          <w:lang w:eastAsia="en-GB"/>
        </w:rPr>
      </w:pPr>
    </w:p>
    <w:p w:rsidR="00A013C1" w:rsidRPr="00407BD0" w:rsidRDefault="00A013C1" w:rsidP="00A013C1">
      <w:pPr>
        <w:spacing w:before="100" w:beforeAutospacing="1" w:after="100" w:afterAutospacing="1" w:line="240" w:lineRule="auto"/>
        <w:rPr>
          <w:rFonts w:ascii="Times New Roman" w:eastAsia="Times New Roman" w:hAnsi="Times New Roman" w:cs="Times New Roman"/>
          <w:color w:val="833C0B" w:themeColor="accent2" w:themeShade="80"/>
          <w:sz w:val="27"/>
          <w:szCs w:val="27"/>
          <w:lang w:eastAsia="en-GB"/>
        </w:rPr>
      </w:pPr>
      <w:r w:rsidRPr="00407BD0">
        <w:rPr>
          <w:rFonts w:ascii="Times New Roman" w:eastAsia="Times New Roman" w:hAnsi="Times New Roman" w:cs="Times New Roman"/>
          <w:color w:val="833C0B" w:themeColor="accent2" w:themeShade="80"/>
          <w:sz w:val="27"/>
          <w:szCs w:val="27"/>
          <w:lang w:eastAsia="en-GB"/>
        </w:rPr>
        <w:t>My Lords,</w:t>
      </w:r>
    </w:p>
    <w:p w:rsidR="00A013C1" w:rsidRPr="00407BD0" w:rsidRDefault="00A013C1" w:rsidP="00A013C1">
      <w:pPr>
        <w:spacing w:before="100" w:beforeAutospacing="1" w:after="100" w:afterAutospacing="1" w:line="240" w:lineRule="auto"/>
        <w:rPr>
          <w:rFonts w:ascii="Times New Roman" w:eastAsia="Times New Roman" w:hAnsi="Times New Roman" w:cs="Times New Roman"/>
          <w:color w:val="833C0B" w:themeColor="accent2" w:themeShade="80"/>
          <w:sz w:val="27"/>
          <w:szCs w:val="27"/>
          <w:lang w:eastAsia="en-GB"/>
        </w:rPr>
      </w:pPr>
      <w:r w:rsidRPr="00407BD0">
        <w:rPr>
          <w:rFonts w:ascii="Times New Roman" w:eastAsia="Times New Roman" w:hAnsi="Times New Roman" w:cs="Times New Roman"/>
          <w:color w:val="833C0B" w:themeColor="accent2" w:themeShade="80"/>
          <w:sz w:val="27"/>
          <w:szCs w:val="27"/>
          <w:lang w:eastAsia="en-GB"/>
        </w:rPr>
        <w:t>      I have had the advantage of reading a draft of the speech of my noble and learned friends, Lord Lloyd of Berwick and Lord Clyde. For the reasons they give I too would allow this appeal.</w:t>
      </w:r>
    </w:p>
    <w:p w:rsidR="00A013C1" w:rsidRPr="00A013C1" w:rsidRDefault="00A013C1" w:rsidP="00A013C1">
      <w:pPr>
        <w:spacing w:before="100" w:beforeAutospacing="1" w:after="270" w:line="240" w:lineRule="auto"/>
        <w:rPr>
          <w:rFonts w:ascii="Times New Roman" w:eastAsia="Times New Roman" w:hAnsi="Times New Roman" w:cs="Times New Roman"/>
          <w:color w:val="000000"/>
          <w:sz w:val="27"/>
          <w:szCs w:val="27"/>
          <w:lang w:eastAsia="en-GB"/>
        </w:rPr>
      </w:pPr>
    </w:p>
    <w:p w:rsidR="00A013C1" w:rsidRPr="00A013C1" w:rsidRDefault="00A013C1" w:rsidP="00A013C1">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A013C1">
        <w:rPr>
          <w:rFonts w:ascii="Times New Roman" w:eastAsia="Times New Roman" w:hAnsi="Times New Roman" w:cs="Times New Roman"/>
          <w:color w:val="000000"/>
          <w:sz w:val="27"/>
          <w:szCs w:val="27"/>
          <w:lang w:eastAsia="en-GB"/>
        </w:rPr>
        <w:t> </w:t>
      </w:r>
      <w:r w:rsidRPr="00A013C1">
        <w:rPr>
          <w:rFonts w:ascii="Times New Roman" w:eastAsia="Times New Roman" w:hAnsi="Times New Roman" w:cs="Times New Roman"/>
          <w:b/>
          <w:bCs/>
          <w:color w:val="000000"/>
          <w:sz w:val="27"/>
          <w:szCs w:val="27"/>
          <w:lang w:eastAsia="en-GB"/>
        </w:rPr>
        <w:t>LORD CLYDE</w:t>
      </w:r>
    </w:p>
    <w:p w:rsidR="00A013C1" w:rsidRPr="00A013C1" w:rsidRDefault="00A013C1" w:rsidP="00A013C1">
      <w:pPr>
        <w:spacing w:before="100" w:beforeAutospacing="1" w:after="100" w:afterAutospacing="1" w:line="240" w:lineRule="auto"/>
        <w:rPr>
          <w:rFonts w:ascii="Times New Roman" w:eastAsia="Times New Roman" w:hAnsi="Times New Roman" w:cs="Times New Roman"/>
          <w:color w:val="000000"/>
          <w:sz w:val="27"/>
          <w:szCs w:val="27"/>
          <w:lang w:eastAsia="en-GB"/>
        </w:rPr>
      </w:pPr>
    </w:p>
    <w:p w:rsidR="00A013C1" w:rsidRPr="00A013C1" w:rsidRDefault="00A013C1" w:rsidP="00A013C1">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A013C1">
        <w:rPr>
          <w:rFonts w:ascii="Times New Roman" w:eastAsia="Times New Roman" w:hAnsi="Times New Roman" w:cs="Times New Roman"/>
          <w:color w:val="000000"/>
          <w:sz w:val="27"/>
          <w:szCs w:val="27"/>
          <w:lang w:eastAsia="en-GB"/>
        </w:rPr>
        <w:t>My Lords,</w:t>
      </w:r>
    </w:p>
    <w:p w:rsidR="00A013C1" w:rsidRPr="00A013C1" w:rsidRDefault="00A013C1" w:rsidP="00A013C1">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A013C1">
        <w:rPr>
          <w:rFonts w:ascii="Times New Roman" w:eastAsia="Times New Roman" w:hAnsi="Times New Roman" w:cs="Times New Roman"/>
          <w:color w:val="000000"/>
          <w:sz w:val="27"/>
          <w:szCs w:val="27"/>
          <w:lang w:eastAsia="en-GB"/>
        </w:rPr>
        <w:t xml:space="preserve">      It is not now disputed that Mr. Morris, the first appellant, is the tenant of Lot No. 6 in the area of land known as Holt's Field, which is owned by the plaintiffs. He and the second appellant have been living in the bungalow on that site which was erected more than half a century ago. The problem then arises whether the bungalow is part of the land so as to be included in his tenancy. An issue arose whether an estoppel by convention had arisen preventing the contention that the bungalow was part of the realty. It has been held that no such estoppel has arisen and that issue is not now argued. The only question left in the case is whether the bungalow is or is not a chattel. The assistant recorder held that it had become </w:t>
      </w:r>
      <w:r w:rsidRPr="00A013C1">
        <w:rPr>
          <w:rFonts w:ascii="Times New Roman" w:eastAsia="Times New Roman" w:hAnsi="Times New Roman" w:cs="Times New Roman"/>
          <w:color w:val="000000"/>
          <w:sz w:val="27"/>
          <w:szCs w:val="27"/>
          <w:lang w:eastAsia="en-GB"/>
        </w:rPr>
        <w:lastRenderedPageBreak/>
        <w:t>annexed to and part of the realty. The Court of Appeal held that it was a chattel and so was not included in the tenancy of Lot No. 6.</w:t>
      </w:r>
    </w:p>
    <w:p w:rsidR="00A013C1" w:rsidRPr="00A013C1" w:rsidRDefault="00A013C1" w:rsidP="00A013C1">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A013C1">
        <w:rPr>
          <w:rFonts w:ascii="Times New Roman" w:eastAsia="Times New Roman" w:hAnsi="Times New Roman" w:cs="Times New Roman"/>
          <w:color w:val="000000"/>
          <w:sz w:val="27"/>
          <w:szCs w:val="27"/>
          <w:lang w:eastAsia="en-GB"/>
        </w:rPr>
        <w:t xml:space="preserve">      It is necessary at the outset to define what the bungalow comprises. It seems from the facts in the present case as if some form of actual attachment of the bungalow to realty might exist, in the connection with the main electric supply cable and certain drain pipes. But these matters have not been explored in the facts and we are required to proceed on the basis that the bungalow is not physically attached to the land. The next consideration is whether the foundations form part of the bungalow. These are sunk into the ground and if they were to be treated as part of the bungalow would clearly be an element of physical connection with the ground. But it does not appear that there is any particular adaptation of the foundations to the structure above nor any adaptation of the structure to suit the foundations. The main structural elements of the bungalow simply rest on the concrete blocks. The bungalow and the foundations are severable from each other and it is not appropriate to treat the whole as a </w:t>
      </w:r>
      <w:proofErr w:type="spellStart"/>
      <w:r w:rsidRPr="00A013C1">
        <w:rPr>
          <w:rFonts w:ascii="Times New Roman" w:eastAsia="Times New Roman" w:hAnsi="Times New Roman" w:cs="Times New Roman"/>
          <w:color w:val="000000"/>
          <w:sz w:val="27"/>
          <w:szCs w:val="27"/>
          <w:lang w:eastAsia="en-GB"/>
        </w:rPr>
        <w:t>unum</w:t>
      </w:r>
      <w:proofErr w:type="spellEnd"/>
      <w:r w:rsidRPr="00A013C1">
        <w:rPr>
          <w:rFonts w:ascii="Times New Roman" w:eastAsia="Times New Roman" w:hAnsi="Times New Roman" w:cs="Times New Roman"/>
          <w:color w:val="000000"/>
          <w:sz w:val="27"/>
          <w:szCs w:val="27"/>
          <w:lang w:eastAsia="en-GB"/>
        </w:rPr>
        <w:t xml:space="preserve"> quid so as to conclude that the bungalow is built into the ground. </w:t>
      </w:r>
      <w:r w:rsidRPr="008C6BB4">
        <w:rPr>
          <w:rFonts w:ascii="Times New Roman" w:eastAsia="Times New Roman" w:hAnsi="Times New Roman" w:cs="Times New Roman"/>
          <w:color w:val="000000"/>
          <w:sz w:val="27"/>
          <w:szCs w:val="27"/>
          <w:highlight w:val="yellow"/>
          <w:lang w:eastAsia="en-GB"/>
        </w:rPr>
        <w:t>It is with the wooden structure alone that the case is concerned.</w:t>
      </w:r>
      <w:r w:rsidRPr="00A013C1">
        <w:rPr>
          <w:rFonts w:ascii="Times New Roman" w:eastAsia="Times New Roman" w:hAnsi="Times New Roman" w:cs="Times New Roman"/>
          <w:color w:val="000000"/>
          <w:sz w:val="27"/>
          <w:szCs w:val="27"/>
          <w:lang w:eastAsia="en-GB"/>
        </w:rPr>
        <w:t xml:space="preserve"> That was the view on which the Court of Appeal proceeded and on the facts available in this case I consider it correct to proceed on that basis.</w:t>
      </w:r>
    </w:p>
    <w:p w:rsidR="00A013C1" w:rsidRPr="00A013C1" w:rsidRDefault="00A013C1" w:rsidP="00A013C1">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A013C1">
        <w:rPr>
          <w:rFonts w:ascii="Times New Roman" w:eastAsia="Times New Roman" w:hAnsi="Times New Roman" w:cs="Times New Roman"/>
          <w:color w:val="000000"/>
          <w:sz w:val="27"/>
          <w:szCs w:val="27"/>
          <w:lang w:eastAsia="en-GB"/>
        </w:rPr>
        <w:t>      The question posed by the parties in their agreed statement of facts and issues is: "Whether the bungalow erected at Unit 6, Holt's Field was a chattel or a fixture." I entirely share the unease which has been expressed by my noble and learned friend, Lord Lloyd of Berwick on the use of the word fixture. The ambiguity is illustrated by a passage in the judgment of Rigby L.J. in </w:t>
      </w:r>
      <w:r w:rsidRPr="00A013C1">
        <w:rPr>
          <w:rFonts w:ascii="Times New Roman" w:eastAsia="Times New Roman" w:hAnsi="Times New Roman" w:cs="Times New Roman"/>
          <w:i/>
          <w:iCs/>
          <w:color w:val="000000"/>
          <w:sz w:val="27"/>
          <w:szCs w:val="27"/>
          <w:lang w:eastAsia="en-GB"/>
        </w:rPr>
        <w:t xml:space="preserve">In re De </w:t>
      </w:r>
      <w:proofErr w:type="spellStart"/>
      <w:r w:rsidRPr="00A013C1">
        <w:rPr>
          <w:rFonts w:ascii="Times New Roman" w:eastAsia="Times New Roman" w:hAnsi="Times New Roman" w:cs="Times New Roman"/>
          <w:i/>
          <w:iCs/>
          <w:color w:val="000000"/>
          <w:sz w:val="27"/>
          <w:szCs w:val="27"/>
          <w:lang w:eastAsia="en-GB"/>
        </w:rPr>
        <w:t>Falbe</w:t>
      </w:r>
      <w:proofErr w:type="spellEnd"/>
      <w:r w:rsidRPr="00A013C1">
        <w:rPr>
          <w:rFonts w:ascii="Times New Roman" w:eastAsia="Times New Roman" w:hAnsi="Times New Roman" w:cs="Times New Roman"/>
          <w:color w:val="000000"/>
          <w:sz w:val="27"/>
          <w:szCs w:val="27"/>
          <w:lang w:eastAsia="en-GB"/>
        </w:rPr>
        <w:t> </w:t>
      </w:r>
      <w:hyperlink r:id="rId12" w:tooltip="Link to BAILII version" w:history="1">
        <w:r w:rsidRPr="00A013C1">
          <w:rPr>
            <w:rFonts w:ascii="Times New Roman" w:eastAsia="Times New Roman" w:hAnsi="Times New Roman" w:cs="Times New Roman"/>
            <w:color w:val="0000FF"/>
            <w:sz w:val="27"/>
            <w:szCs w:val="27"/>
            <w:u w:val="single"/>
            <w:lang w:eastAsia="en-GB"/>
          </w:rPr>
          <w:t xml:space="preserve">[1901] 1 </w:t>
        </w:r>
        <w:proofErr w:type="spellStart"/>
        <w:r w:rsidRPr="00A013C1">
          <w:rPr>
            <w:rFonts w:ascii="Times New Roman" w:eastAsia="Times New Roman" w:hAnsi="Times New Roman" w:cs="Times New Roman"/>
            <w:color w:val="0000FF"/>
            <w:sz w:val="27"/>
            <w:szCs w:val="27"/>
            <w:u w:val="single"/>
            <w:lang w:eastAsia="en-GB"/>
          </w:rPr>
          <w:t>Ch</w:t>
        </w:r>
        <w:proofErr w:type="spellEnd"/>
        <w:r w:rsidRPr="00A013C1">
          <w:rPr>
            <w:rFonts w:ascii="Times New Roman" w:eastAsia="Times New Roman" w:hAnsi="Times New Roman" w:cs="Times New Roman"/>
            <w:color w:val="0000FF"/>
            <w:sz w:val="27"/>
            <w:szCs w:val="27"/>
            <w:u w:val="single"/>
            <w:lang w:eastAsia="en-GB"/>
          </w:rPr>
          <w:t xml:space="preserve"> 523</w:t>
        </w:r>
      </w:hyperlink>
      <w:r w:rsidRPr="00A013C1">
        <w:rPr>
          <w:rFonts w:ascii="Times New Roman" w:eastAsia="Times New Roman" w:hAnsi="Times New Roman" w:cs="Times New Roman"/>
          <w:color w:val="000000"/>
          <w:sz w:val="27"/>
          <w:szCs w:val="27"/>
          <w:lang w:eastAsia="en-GB"/>
        </w:rPr>
        <w:t>, 530 where having referred to an originally unbending rule that everything affixed to the freehold was held to go with the freehold his Lordship stated:</w:t>
      </w:r>
    </w:p>
    <w:p w:rsidR="00A013C1" w:rsidRPr="00A013C1" w:rsidRDefault="00A013C1" w:rsidP="00A013C1">
      <w:pPr>
        <w:spacing w:after="0" w:line="240" w:lineRule="auto"/>
        <w:ind w:left="720"/>
        <w:rPr>
          <w:rFonts w:ascii="Times New Roman" w:eastAsia="Times New Roman" w:hAnsi="Times New Roman" w:cs="Times New Roman"/>
          <w:color w:val="000000"/>
          <w:sz w:val="27"/>
          <w:szCs w:val="27"/>
          <w:lang w:eastAsia="en-GB"/>
        </w:rPr>
      </w:pPr>
      <w:r w:rsidRPr="00A013C1">
        <w:rPr>
          <w:rFonts w:ascii="Times New Roman" w:eastAsia="Times New Roman" w:hAnsi="Times New Roman" w:cs="Times New Roman"/>
          <w:color w:val="000000"/>
          <w:sz w:val="27"/>
          <w:szCs w:val="27"/>
          <w:lang w:eastAsia="en-GB"/>
        </w:rPr>
        <w:t> "But in modern times there have come to be important exceptions to this rule, one being in favour of trade fixtures and entitling a person who has put up what are now called 'fixtures' (which means removable fixed things) for the purposes of trade to remove them."</w:t>
      </w:r>
    </w:p>
    <w:p w:rsidR="00A013C1" w:rsidRPr="00A013C1" w:rsidRDefault="00A013C1" w:rsidP="00A013C1">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A013C1">
        <w:rPr>
          <w:rFonts w:ascii="Times New Roman" w:eastAsia="Times New Roman" w:hAnsi="Times New Roman" w:cs="Times New Roman"/>
          <w:color w:val="000000"/>
          <w:sz w:val="27"/>
          <w:szCs w:val="27"/>
          <w:lang w:eastAsia="en-GB"/>
        </w:rPr>
        <w:t>Later in his judgment he stated, at p. 533:</w:t>
      </w:r>
    </w:p>
    <w:p w:rsidR="00A013C1" w:rsidRPr="00A013C1" w:rsidRDefault="00A013C1" w:rsidP="00A013C1">
      <w:pPr>
        <w:spacing w:after="0" w:line="240" w:lineRule="auto"/>
        <w:ind w:left="720"/>
        <w:rPr>
          <w:rFonts w:ascii="Times New Roman" w:eastAsia="Times New Roman" w:hAnsi="Times New Roman" w:cs="Times New Roman"/>
          <w:color w:val="000000"/>
          <w:sz w:val="27"/>
          <w:szCs w:val="27"/>
          <w:lang w:eastAsia="en-GB"/>
        </w:rPr>
      </w:pPr>
      <w:r w:rsidRPr="00A013C1">
        <w:rPr>
          <w:rFonts w:ascii="Times New Roman" w:eastAsia="Times New Roman" w:hAnsi="Times New Roman" w:cs="Times New Roman"/>
          <w:color w:val="000000"/>
          <w:sz w:val="27"/>
          <w:szCs w:val="27"/>
          <w:lang w:eastAsia="en-GB"/>
        </w:rPr>
        <w:t> "But the question is, whether they were not made 'fixtures,' meaning thereby objects fixed to the wall which might be removed at the will of the person who had fixed them."</w:t>
      </w:r>
    </w:p>
    <w:p w:rsidR="00A013C1" w:rsidRPr="00A013C1" w:rsidRDefault="00A013C1" w:rsidP="00A013C1">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A013C1">
        <w:rPr>
          <w:rFonts w:ascii="Times New Roman" w:eastAsia="Times New Roman" w:hAnsi="Times New Roman" w:cs="Times New Roman"/>
          <w:color w:val="000000"/>
          <w:sz w:val="27"/>
          <w:szCs w:val="27"/>
          <w:lang w:eastAsia="en-GB"/>
        </w:rPr>
        <w:t>In </w:t>
      </w:r>
      <w:r w:rsidRPr="00A013C1">
        <w:rPr>
          <w:rFonts w:ascii="Times New Roman" w:eastAsia="Times New Roman" w:hAnsi="Times New Roman" w:cs="Times New Roman"/>
          <w:i/>
          <w:iCs/>
          <w:color w:val="000000"/>
          <w:sz w:val="27"/>
          <w:szCs w:val="27"/>
          <w:lang w:eastAsia="en-GB"/>
        </w:rPr>
        <w:t xml:space="preserve">Boyd v. </w:t>
      </w:r>
      <w:proofErr w:type="spellStart"/>
      <w:r w:rsidRPr="00A013C1">
        <w:rPr>
          <w:rFonts w:ascii="Times New Roman" w:eastAsia="Times New Roman" w:hAnsi="Times New Roman" w:cs="Times New Roman"/>
          <w:i/>
          <w:iCs/>
          <w:color w:val="000000"/>
          <w:sz w:val="27"/>
          <w:szCs w:val="27"/>
          <w:lang w:eastAsia="en-GB"/>
        </w:rPr>
        <w:t>Shorrock</w:t>
      </w:r>
      <w:proofErr w:type="spellEnd"/>
      <w:r w:rsidRPr="00A013C1">
        <w:rPr>
          <w:rFonts w:ascii="Times New Roman" w:eastAsia="Times New Roman" w:hAnsi="Times New Roman" w:cs="Times New Roman"/>
          <w:color w:val="000000"/>
          <w:sz w:val="27"/>
          <w:szCs w:val="27"/>
          <w:lang w:eastAsia="en-GB"/>
        </w:rPr>
        <w:t xml:space="preserve"> (1867) L.R. 5 Eq. 72 Sir W. Page Wood V.-C. </w:t>
      </w:r>
      <w:proofErr w:type="gramStart"/>
      <w:r w:rsidRPr="00A013C1">
        <w:rPr>
          <w:rFonts w:ascii="Times New Roman" w:eastAsia="Times New Roman" w:hAnsi="Times New Roman" w:cs="Times New Roman"/>
          <w:color w:val="000000"/>
          <w:sz w:val="27"/>
          <w:szCs w:val="27"/>
          <w:lang w:eastAsia="en-GB"/>
        </w:rPr>
        <w:t>regarded</w:t>
      </w:r>
      <w:proofErr w:type="gramEnd"/>
      <w:r w:rsidRPr="00A013C1">
        <w:rPr>
          <w:rFonts w:ascii="Times New Roman" w:eastAsia="Times New Roman" w:hAnsi="Times New Roman" w:cs="Times New Roman"/>
          <w:color w:val="000000"/>
          <w:sz w:val="27"/>
          <w:szCs w:val="27"/>
          <w:lang w:eastAsia="en-GB"/>
        </w:rPr>
        <w:t xml:space="preserve"> as conclusive of the case before him a definition given in </w:t>
      </w:r>
      <w:r w:rsidRPr="00A013C1">
        <w:rPr>
          <w:rFonts w:ascii="Times New Roman" w:eastAsia="Times New Roman" w:hAnsi="Times New Roman" w:cs="Times New Roman"/>
          <w:i/>
          <w:iCs/>
          <w:color w:val="000000"/>
          <w:sz w:val="27"/>
          <w:szCs w:val="27"/>
          <w:lang w:eastAsia="en-GB"/>
        </w:rPr>
        <w:t>Ex parte Barclay</w:t>
      </w:r>
      <w:r w:rsidRPr="00A013C1">
        <w:rPr>
          <w:rFonts w:ascii="Times New Roman" w:eastAsia="Times New Roman" w:hAnsi="Times New Roman" w:cs="Times New Roman"/>
          <w:color w:val="000000"/>
          <w:sz w:val="27"/>
          <w:szCs w:val="27"/>
          <w:lang w:eastAsia="en-GB"/>
        </w:rPr>
        <w:t> (1855) 5 De G. M. &amp; G. 403, 410:</w:t>
      </w:r>
    </w:p>
    <w:p w:rsidR="00A013C1" w:rsidRPr="00A013C1" w:rsidRDefault="00A013C1" w:rsidP="00A013C1">
      <w:pPr>
        <w:spacing w:after="0" w:line="240" w:lineRule="auto"/>
        <w:ind w:left="720"/>
        <w:rPr>
          <w:rFonts w:ascii="Times New Roman" w:eastAsia="Times New Roman" w:hAnsi="Times New Roman" w:cs="Times New Roman"/>
          <w:color w:val="000000"/>
          <w:sz w:val="27"/>
          <w:szCs w:val="27"/>
          <w:lang w:eastAsia="en-GB"/>
        </w:rPr>
      </w:pPr>
      <w:r w:rsidRPr="00A013C1">
        <w:rPr>
          <w:rFonts w:ascii="Times New Roman" w:eastAsia="Times New Roman" w:hAnsi="Times New Roman" w:cs="Times New Roman"/>
          <w:color w:val="000000"/>
          <w:sz w:val="27"/>
          <w:szCs w:val="27"/>
          <w:lang w:eastAsia="en-GB"/>
        </w:rPr>
        <w:lastRenderedPageBreak/>
        <w:t> "By 'fixtures' we understand such things as are ordinarily affixed to the freehold for the convenience of the occupier, and which may be removed without material injury to the freehold, such will be machinery, using a generic term; and in houses, grates, cupboards, and other like things."</w:t>
      </w:r>
    </w:p>
    <w:p w:rsidR="00A013C1" w:rsidRPr="00A013C1" w:rsidRDefault="00A013C1" w:rsidP="00A013C1">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A013C1">
        <w:rPr>
          <w:rFonts w:ascii="Times New Roman" w:eastAsia="Times New Roman" w:hAnsi="Times New Roman" w:cs="Times New Roman"/>
          <w:color w:val="000000"/>
          <w:sz w:val="27"/>
          <w:szCs w:val="27"/>
          <w:lang w:eastAsia="en-GB"/>
        </w:rPr>
        <w:t>      As the law has developed it has become easy to neglect the original principle from which the consequences of attachment of a c</w:t>
      </w:r>
      <w:bookmarkStart w:id="0" w:name="_GoBack"/>
      <w:bookmarkEnd w:id="0"/>
      <w:r w:rsidRPr="00A013C1">
        <w:rPr>
          <w:rFonts w:ascii="Times New Roman" w:eastAsia="Times New Roman" w:hAnsi="Times New Roman" w:cs="Times New Roman"/>
          <w:color w:val="000000"/>
          <w:sz w:val="27"/>
          <w:szCs w:val="27"/>
          <w:lang w:eastAsia="en-GB"/>
        </w:rPr>
        <w:t xml:space="preserve">hattel to realty derive. That is the principle of accession, from which the more particular example has been formulated, </w:t>
      </w:r>
      <w:proofErr w:type="spellStart"/>
      <w:r w:rsidRPr="00A013C1">
        <w:rPr>
          <w:rFonts w:ascii="Times New Roman" w:eastAsia="Times New Roman" w:hAnsi="Times New Roman" w:cs="Times New Roman"/>
          <w:color w:val="000000"/>
          <w:sz w:val="27"/>
          <w:szCs w:val="27"/>
          <w:lang w:eastAsia="en-GB"/>
        </w:rPr>
        <w:t>inaedificatum</w:t>
      </w:r>
      <w:proofErr w:type="spellEnd"/>
      <w:r w:rsidRPr="00A013C1">
        <w:rPr>
          <w:rFonts w:ascii="Times New Roman" w:eastAsia="Times New Roman" w:hAnsi="Times New Roman" w:cs="Times New Roman"/>
          <w:color w:val="000000"/>
          <w:sz w:val="27"/>
          <w:szCs w:val="27"/>
          <w:lang w:eastAsia="en-GB"/>
        </w:rPr>
        <w:t xml:space="preserve"> solo </w:t>
      </w:r>
      <w:proofErr w:type="spellStart"/>
      <w:r w:rsidRPr="00A013C1">
        <w:rPr>
          <w:rFonts w:ascii="Times New Roman" w:eastAsia="Times New Roman" w:hAnsi="Times New Roman" w:cs="Times New Roman"/>
          <w:color w:val="000000"/>
          <w:sz w:val="27"/>
          <w:szCs w:val="27"/>
          <w:lang w:eastAsia="en-GB"/>
        </w:rPr>
        <w:t>solo</w:t>
      </w:r>
      <w:proofErr w:type="spellEnd"/>
      <w:r w:rsidRPr="00A013C1">
        <w:rPr>
          <w:rFonts w:ascii="Times New Roman" w:eastAsia="Times New Roman" w:hAnsi="Times New Roman" w:cs="Times New Roman"/>
          <w:color w:val="000000"/>
          <w:sz w:val="27"/>
          <w:szCs w:val="27"/>
          <w:lang w:eastAsia="en-GB"/>
        </w:rPr>
        <w:t xml:space="preserve"> cedit. A clear distinction has to be draw between the principle of accession and the rules of removability.</w:t>
      </w:r>
    </w:p>
    <w:p w:rsidR="00A013C1" w:rsidRPr="00A013C1" w:rsidRDefault="00A013C1" w:rsidP="00A013C1">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A013C1">
        <w:rPr>
          <w:rFonts w:ascii="Times New Roman" w:eastAsia="Times New Roman" w:hAnsi="Times New Roman" w:cs="Times New Roman"/>
          <w:color w:val="000000"/>
          <w:sz w:val="27"/>
          <w:szCs w:val="27"/>
          <w:lang w:eastAsia="en-GB"/>
        </w:rPr>
        <w:t>      My Lords, the distinction between these two matters was pointed out long ago by Lord Cairns L.C. in </w:t>
      </w:r>
      <w:r w:rsidRPr="00A013C1">
        <w:rPr>
          <w:rFonts w:ascii="Times New Roman" w:eastAsia="Times New Roman" w:hAnsi="Times New Roman" w:cs="Times New Roman"/>
          <w:i/>
          <w:iCs/>
          <w:color w:val="000000"/>
          <w:sz w:val="27"/>
          <w:szCs w:val="27"/>
          <w:lang w:eastAsia="en-GB"/>
        </w:rPr>
        <w:t>Bain v. Brand</w:t>
      </w:r>
      <w:r w:rsidRPr="00A013C1">
        <w:rPr>
          <w:rFonts w:ascii="Times New Roman" w:eastAsia="Times New Roman" w:hAnsi="Times New Roman" w:cs="Times New Roman"/>
          <w:color w:val="000000"/>
          <w:sz w:val="27"/>
          <w:szCs w:val="27"/>
          <w:lang w:eastAsia="en-GB"/>
        </w:rPr>
        <w:t xml:space="preserve"> (1876) 1 </w:t>
      </w:r>
      <w:proofErr w:type="spellStart"/>
      <w:r w:rsidRPr="00A013C1">
        <w:rPr>
          <w:rFonts w:ascii="Times New Roman" w:eastAsia="Times New Roman" w:hAnsi="Times New Roman" w:cs="Times New Roman"/>
          <w:color w:val="000000"/>
          <w:sz w:val="27"/>
          <w:szCs w:val="27"/>
          <w:lang w:eastAsia="en-GB"/>
        </w:rPr>
        <w:t>App.Cas</w:t>
      </w:r>
      <w:proofErr w:type="spellEnd"/>
      <w:r w:rsidRPr="00A013C1">
        <w:rPr>
          <w:rFonts w:ascii="Times New Roman" w:eastAsia="Times New Roman" w:hAnsi="Times New Roman" w:cs="Times New Roman"/>
          <w:color w:val="000000"/>
          <w:sz w:val="27"/>
          <w:szCs w:val="27"/>
          <w:lang w:eastAsia="en-GB"/>
        </w:rPr>
        <w:t>. 762. In that case it was declared that the law as to fixtures is the same in Scotland as in England. His Lordship stated, at p. 767, that there were two general rules under the comprehensive term of fixtures:</w:t>
      </w:r>
    </w:p>
    <w:p w:rsidR="00A013C1" w:rsidRPr="00A013C1" w:rsidRDefault="00A013C1" w:rsidP="00A013C1">
      <w:pPr>
        <w:spacing w:after="0" w:line="240" w:lineRule="auto"/>
        <w:ind w:left="720"/>
        <w:rPr>
          <w:rFonts w:ascii="Times New Roman" w:eastAsia="Times New Roman" w:hAnsi="Times New Roman" w:cs="Times New Roman"/>
          <w:color w:val="000000"/>
          <w:sz w:val="27"/>
          <w:szCs w:val="27"/>
          <w:lang w:eastAsia="en-GB"/>
        </w:rPr>
      </w:pPr>
      <w:r w:rsidRPr="00A013C1">
        <w:rPr>
          <w:rFonts w:ascii="Times New Roman" w:eastAsia="Times New Roman" w:hAnsi="Times New Roman" w:cs="Times New Roman"/>
          <w:color w:val="000000"/>
          <w:sz w:val="27"/>
          <w:szCs w:val="27"/>
          <w:lang w:eastAsia="en-GB"/>
        </w:rPr>
        <w:t xml:space="preserve"> "One of these rules is the general well-known rule that whatever is fixed to the freehold of land becomes part of the freehold or inheritance. The other is quite a different and separate rule;--whatever once becomes part of the inheritance cannot be severed by a limited owner, whether he be owner for life or for years, without the commission of that which, in the law of England, is called waste, and which, according to the law of both England and Scotland, is undoubtedly an offence which can be restrained. Those, my Lords, are two rules, not one by way of exception to the other, but two rules standing consistently together. My Lords, an exception indeed, and a very important exception, has been made, not to the first of these rules, but to the second. To the first rule which I have stated to your Lordships there is, so far as I am aware, no exception whatever. That which is fixed to the inheritance becomes a part of the inheritance at the present day as much as it did in the earliest times. But to the second rule, namely, the </w:t>
      </w:r>
      <w:proofErr w:type="spellStart"/>
      <w:r w:rsidRPr="00A013C1">
        <w:rPr>
          <w:rFonts w:ascii="Times New Roman" w:eastAsia="Times New Roman" w:hAnsi="Times New Roman" w:cs="Times New Roman"/>
          <w:color w:val="000000"/>
          <w:sz w:val="27"/>
          <w:szCs w:val="27"/>
          <w:lang w:eastAsia="en-GB"/>
        </w:rPr>
        <w:t>irremovability</w:t>
      </w:r>
      <w:proofErr w:type="spellEnd"/>
      <w:r w:rsidRPr="00A013C1">
        <w:rPr>
          <w:rFonts w:ascii="Times New Roman" w:eastAsia="Times New Roman" w:hAnsi="Times New Roman" w:cs="Times New Roman"/>
          <w:color w:val="000000"/>
          <w:sz w:val="27"/>
          <w:szCs w:val="27"/>
          <w:lang w:eastAsia="en-GB"/>
        </w:rPr>
        <w:t xml:space="preserve"> of things fixed to the inheritance, there is undoubtedly ground for a very important exception. That exception has been established in favour of fixtures which have been attached to the inheritance for the purposes of trade, and perhaps in a minor degree for the purpose of agriculture. Under that exception a tenant who has fixed to the inheritance things for the purpose of trade has a certain power of severance and removal during the tenancy. . . "</w:t>
      </w:r>
    </w:p>
    <w:p w:rsidR="00A013C1" w:rsidRPr="00A013C1" w:rsidRDefault="00A013C1" w:rsidP="00A013C1">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A013C1">
        <w:rPr>
          <w:rFonts w:ascii="Times New Roman" w:eastAsia="Times New Roman" w:hAnsi="Times New Roman" w:cs="Times New Roman"/>
          <w:color w:val="000000"/>
          <w:sz w:val="27"/>
          <w:szCs w:val="27"/>
          <w:lang w:eastAsia="en-GB"/>
        </w:rPr>
        <w:t>      It would be right to add that the exception has been developed so as to extend beyond the purposes of trade. By the end of the 19th century it was clearly established that the exception included objects which had been affixed to the freehold by way of ornament: </w:t>
      </w:r>
      <w:r w:rsidRPr="00A013C1">
        <w:rPr>
          <w:rFonts w:ascii="Times New Roman" w:eastAsia="Times New Roman" w:hAnsi="Times New Roman" w:cs="Times New Roman"/>
          <w:i/>
          <w:iCs/>
          <w:color w:val="000000"/>
          <w:sz w:val="27"/>
          <w:szCs w:val="27"/>
          <w:lang w:eastAsia="en-GB"/>
        </w:rPr>
        <w:t xml:space="preserve">In re De </w:t>
      </w:r>
      <w:proofErr w:type="spellStart"/>
      <w:r w:rsidRPr="00A013C1">
        <w:rPr>
          <w:rFonts w:ascii="Times New Roman" w:eastAsia="Times New Roman" w:hAnsi="Times New Roman" w:cs="Times New Roman"/>
          <w:i/>
          <w:iCs/>
          <w:color w:val="000000"/>
          <w:sz w:val="27"/>
          <w:szCs w:val="27"/>
          <w:lang w:eastAsia="en-GB"/>
        </w:rPr>
        <w:t>Falbe</w:t>
      </w:r>
      <w:proofErr w:type="spellEnd"/>
      <w:r w:rsidRPr="00A013C1">
        <w:rPr>
          <w:rFonts w:ascii="Times New Roman" w:eastAsia="Times New Roman" w:hAnsi="Times New Roman" w:cs="Times New Roman"/>
          <w:color w:val="000000"/>
          <w:sz w:val="27"/>
          <w:szCs w:val="27"/>
          <w:lang w:eastAsia="en-GB"/>
        </w:rPr>
        <w:t> </w:t>
      </w:r>
      <w:hyperlink r:id="rId13" w:tooltip="Link to BAILII version" w:history="1">
        <w:r w:rsidRPr="00A013C1">
          <w:rPr>
            <w:rFonts w:ascii="Times New Roman" w:eastAsia="Times New Roman" w:hAnsi="Times New Roman" w:cs="Times New Roman"/>
            <w:color w:val="0000FF"/>
            <w:sz w:val="27"/>
            <w:szCs w:val="27"/>
            <w:u w:val="single"/>
            <w:lang w:eastAsia="en-GB"/>
          </w:rPr>
          <w:t xml:space="preserve">[1901] 1 </w:t>
        </w:r>
        <w:proofErr w:type="spellStart"/>
        <w:r w:rsidRPr="00A013C1">
          <w:rPr>
            <w:rFonts w:ascii="Times New Roman" w:eastAsia="Times New Roman" w:hAnsi="Times New Roman" w:cs="Times New Roman"/>
            <w:color w:val="0000FF"/>
            <w:sz w:val="27"/>
            <w:szCs w:val="27"/>
            <w:u w:val="single"/>
            <w:lang w:eastAsia="en-GB"/>
          </w:rPr>
          <w:t>Ch</w:t>
        </w:r>
        <w:proofErr w:type="spellEnd"/>
        <w:r w:rsidRPr="00A013C1">
          <w:rPr>
            <w:rFonts w:ascii="Times New Roman" w:eastAsia="Times New Roman" w:hAnsi="Times New Roman" w:cs="Times New Roman"/>
            <w:color w:val="0000FF"/>
            <w:sz w:val="27"/>
            <w:szCs w:val="27"/>
            <w:u w:val="single"/>
            <w:lang w:eastAsia="en-GB"/>
          </w:rPr>
          <w:t xml:space="preserve"> 523</w:t>
        </w:r>
      </w:hyperlink>
      <w:r w:rsidRPr="00A013C1">
        <w:rPr>
          <w:rFonts w:ascii="Times New Roman" w:eastAsia="Times New Roman" w:hAnsi="Times New Roman" w:cs="Times New Roman"/>
          <w:color w:val="000000"/>
          <w:sz w:val="27"/>
          <w:szCs w:val="27"/>
          <w:lang w:eastAsia="en-GB"/>
        </w:rPr>
        <w:t xml:space="preserve">, 539. This reflected not a change in the law but, as Lord </w:t>
      </w:r>
      <w:proofErr w:type="spellStart"/>
      <w:r w:rsidRPr="00A013C1">
        <w:rPr>
          <w:rFonts w:ascii="Times New Roman" w:eastAsia="Times New Roman" w:hAnsi="Times New Roman" w:cs="Times New Roman"/>
          <w:color w:val="000000"/>
          <w:sz w:val="27"/>
          <w:szCs w:val="27"/>
          <w:lang w:eastAsia="en-GB"/>
        </w:rPr>
        <w:t>Macnaghten</w:t>
      </w:r>
      <w:proofErr w:type="spellEnd"/>
      <w:r w:rsidRPr="00A013C1">
        <w:rPr>
          <w:rFonts w:ascii="Times New Roman" w:eastAsia="Times New Roman" w:hAnsi="Times New Roman" w:cs="Times New Roman"/>
          <w:color w:val="000000"/>
          <w:sz w:val="27"/>
          <w:szCs w:val="27"/>
          <w:lang w:eastAsia="en-GB"/>
        </w:rPr>
        <w:t xml:space="preserve"> put it in </w:t>
      </w:r>
      <w:r w:rsidRPr="00A013C1">
        <w:rPr>
          <w:rFonts w:ascii="Times New Roman" w:eastAsia="Times New Roman" w:hAnsi="Times New Roman" w:cs="Times New Roman"/>
          <w:i/>
          <w:iCs/>
          <w:color w:val="000000"/>
          <w:sz w:val="27"/>
          <w:szCs w:val="27"/>
          <w:lang w:eastAsia="en-GB"/>
        </w:rPr>
        <w:t>Leigh v. Taylor</w:t>
      </w:r>
      <w:r w:rsidRPr="00A013C1">
        <w:rPr>
          <w:rFonts w:ascii="Times New Roman" w:eastAsia="Times New Roman" w:hAnsi="Times New Roman" w:cs="Times New Roman"/>
          <w:color w:val="000000"/>
          <w:sz w:val="27"/>
          <w:szCs w:val="27"/>
          <w:lang w:eastAsia="en-GB"/>
        </w:rPr>
        <w:t> </w:t>
      </w:r>
      <w:hyperlink r:id="rId14" w:tooltip="Link to BAILII version" w:history="1">
        <w:r w:rsidRPr="00A013C1">
          <w:rPr>
            <w:rFonts w:ascii="Times New Roman" w:eastAsia="Times New Roman" w:hAnsi="Times New Roman" w:cs="Times New Roman"/>
            <w:color w:val="0000FF"/>
            <w:sz w:val="27"/>
            <w:szCs w:val="27"/>
            <w:u w:val="single"/>
            <w:lang w:eastAsia="en-GB"/>
          </w:rPr>
          <w:t xml:space="preserve">[1902] </w:t>
        </w:r>
        <w:r w:rsidRPr="00A013C1">
          <w:rPr>
            <w:rFonts w:ascii="Times New Roman" w:eastAsia="Times New Roman" w:hAnsi="Times New Roman" w:cs="Times New Roman"/>
            <w:color w:val="0000FF"/>
            <w:sz w:val="27"/>
            <w:szCs w:val="27"/>
            <w:u w:val="single"/>
            <w:lang w:eastAsia="en-GB"/>
          </w:rPr>
          <w:lastRenderedPageBreak/>
          <w:t>AC 157</w:t>
        </w:r>
      </w:hyperlink>
      <w:r w:rsidRPr="00A013C1">
        <w:rPr>
          <w:rFonts w:ascii="Times New Roman" w:eastAsia="Times New Roman" w:hAnsi="Times New Roman" w:cs="Times New Roman"/>
          <w:color w:val="000000"/>
          <w:sz w:val="27"/>
          <w:szCs w:val="27"/>
          <w:lang w:eastAsia="en-GB"/>
        </w:rPr>
        <w:t>, 162, a change "in our habits and mode of life." No doubt the category of exceptions may continue to change.</w:t>
      </w:r>
    </w:p>
    <w:p w:rsidR="00A013C1" w:rsidRPr="00A013C1" w:rsidRDefault="00A013C1" w:rsidP="00A013C1">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A013C1">
        <w:rPr>
          <w:rFonts w:ascii="Times New Roman" w:eastAsia="Times New Roman" w:hAnsi="Times New Roman" w:cs="Times New Roman"/>
          <w:color w:val="000000"/>
          <w:sz w:val="27"/>
          <w:szCs w:val="27"/>
          <w:lang w:eastAsia="en-GB"/>
        </w:rPr>
        <w:t>      The present case, however, is concerned with the first of the two rules and not the second. But it is not altogether clear that the distinction between the two rules was clearly put before the Court of Appeal in the present case. If the distinction is not noticed there is a danger that the true issue may become confused by questions truly relating to removability. The Court of Appeal found assistance in the decision in </w:t>
      </w:r>
      <w:r w:rsidRPr="00A013C1">
        <w:rPr>
          <w:rFonts w:ascii="Times New Roman" w:eastAsia="Times New Roman" w:hAnsi="Times New Roman" w:cs="Times New Roman"/>
          <w:i/>
          <w:iCs/>
          <w:color w:val="000000"/>
          <w:sz w:val="27"/>
          <w:szCs w:val="27"/>
          <w:lang w:eastAsia="en-GB"/>
        </w:rPr>
        <w:t>Webb v. Frank Bevis Ltd.</w:t>
      </w:r>
      <w:r w:rsidRPr="00A013C1">
        <w:rPr>
          <w:rFonts w:ascii="Times New Roman" w:eastAsia="Times New Roman" w:hAnsi="Times New Roman" w:cs="Times New Roman"/>
          <w:color w:val="000000"/>
          <w:sz w:val="27"/>
          <w:szCs w:val="27"/>
          <w:lang w:eastAsia="en-GB"/>
        </w:rPr>
        <w:t> [1940] 1 All E.R. 247, regarding the bungalow as no more annexed to the land and just as much a chattel as the large shed in that case. But the court in the </w:t>
      </w:r>
      <w:r w:rsidRPr="00A013C1">
        <w:rPr>
          <w:rFonts w:ascii="Times New Roman" w:eastAsia="Times New Roman" w:hAnsi="Times New Roman" w:cs="Times New Roman"/>
          <w:i/>
          <w:iCs/>
          <w:color w:val="000000"/>
          <w:sz w:val="27"/>
          <w:szCs w:val="27"/>
          <w:lang w:eastAsia="en-GB"/>
        </w:rPr>
        <w:t>Webb</w:t>
      </w:r>
      <w:r w:rsidRPr="00A013C1">
        <w:rPr>
          <w:rFonts w:ascii="Times New Roman" w:eastAsia="Times New Roman" w:hAnsi="Times New Roman" w:cs="Times New Roman"/>
          <w:color w:val="000000"/>
          <w:sz w:val="27"/>
          <w:szCs w:val="27"/>
          <w:lang w:eastAsia="en-GB"/>
        </w:rPr>
        <w:t> case held that the large shed was a fixture but was removable by the tenant. I should add that the second rule may involve particular consideration of the various relationships between the interested parties which may play a part in the matter of removability, such as landlord and tenant, or mortgagor and mortgagee. But those differences play only a subordinate role in relation to the first rule.</w:t>
      </w:r>
    </w:p>
    <w:p w:rsidR="00A013C1" w:rsidRPr="00A013C1" w:rsidRDefault="00A013C1" w:rsidP="00A013C1">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A013C1">
        <w:rPr>
          <w:rFonts w:ascii="Times New Roman" w:eastAsia="Times New Roman" w:hAnsi="Times New Roman" w:cs="Times New Roman"/>
          <w:color w:val="000000"/>
          <w:sz w:val="27"/>
          <w:szCs w:val="27"/>
          <w:lang w:eastAsia="en-GB"/>
        </w:rPr>
        <w:t xml:space="preserve">      The answer to that question is to be found by a consideration of the particular facts and circumstances. In the generality there are a number of considerations to which resort may be had to solve the problem. But each case in this matter has to turn on its own facts. Comparable cases are useful for guidance in respect of the considerations employed but can only rarely provide conclusive answers. It has not been suggested that if the bungalow is real property it can be regarded as distinct from the site so as to be excluded from the property let to Mr. Morris. The question then can be simply asked whether the bungalow is a chattel or realty. </w:t>
      </w:r>
      <w:r w:rsidRPr="00EE0065">
        <w:rPr>
          <w:rFonts w:ascii="Times New Roman" w:eastAsia="Times New Roman" w:hAnsi="Times New Roman" w:cs="Times New Roman"/>
          <w:color w:val="000000"/>
          <w:sz w:val="27"/>
          <w:szCs w:val="27"/>
          <w:highlight w:val="yellow"/>
          <w:lang w:eastAsia="en-GB"/>
        </w:rPr>
        <w:t xml:space="preserve">On that wider approach a useful starting point can be found in the words of the old commentator </w:t>
      </w:r>
      <w:proofErr w:type="spellStart"/>
      <w:r w:rsidRPr="00EE0065">
        <w:rPr>
          <w:rFonts w:ascii="Times New Roman" w:eastAsia="Times New Roman" w:hAnsi="Times New Roman" w:cs="Times New Roman"/>
          <w:color w:val="000000"/>
          <w:sz w:val="27"/>
          <w:szCs w:val="27"/>
          <w:highlight w:val="yellow"/>
          <w:lang w:eastAsia="en-GB"/>
        </w:rPr>
        <w:t>Heineccius</w:t>
      </w:r>
      <w:proofErr w:type="spellEnd"/>
      <w:r w:rsidRPr="00EE0065">
        <w:rPr>
          <w:rFonts w:ascii="Times New Roman" w:eastAsia="Times New Roman" w:hAnsi="Times New Roman" w:cs="Times New Roman"/>
          <w:color w:val="000000"/>
          <w:sz w:val="27"/>
          <w:szCs w:val="27"/>
          <w:highlight w:val="yellow"/>
          <w:lang w:eastAsia="en-GB"/>
        </w:rPr>
        <w:t xml:space="preserve"> (Elementa </w:t>
      </w:r>
      <w:proofErr w:type="spellStart"/>
      <w:r w:rsidRPr="00EE0065">
        <w:rPr>
          <w:rFonts w:ascii="Times New Roman" w:eastAsia="Times New Roman" w:hAnsi="Times New Roman" w:cs="Times New Roman"/>
          <w:color w:val="000000"/>
          <w:sz w:val="27"/>
          <w:szCs w:val="27"/>
          <w:highlight w:val="yellow"/>
          <w:lang w:eastAsia="en-GB"/>
        </w:rPr>
        <w:t>Iuris</w:t>
      </w:r>
      <w:proofErr w:type="spellEnd"/>
      <w:r w:rsidRPr="00EE0065">
        <w:rPr>
          <w:rFonts w:ascii="Times New Roman" w:eastAsia="Times New Roman" w:hAnsi="Times New Roman" w:cs="Times New Roman"/>
          <w:color w:val="000000"/>
          <w:sz w:val="27"/>
          <w:szCs w:val="27"/>
          <w:highlight w:val="yellow"/>
          <w:lang w:eastAsia="en-GB"/>
        </w:rPr>
        <w:t xml:space="preserve"> </w:t>
      </w:r>
      <w:proofErr w:type="spellStart"/>
      <w:r w:rsidRPr="00EE0065">
        <w:rPr>
          <w:rFonts w:ascii="Times New Roman" w:eastAsia="Times New Roman" w:hAnsi="Times New Roman" w:cs="Times New Roman"/>
          <w:color w:val="000000"/>
          <w:sz w:val="27"/>
          <w:szCs w:val="27"/>
          <w:highlight w:val="yellow"/>
          <w:lang w:eastAsia="en-GB"/>
        </w:rPr>
        <w:t>Civilis</w:t>
      </w:r>
      <w:proofErr w:type="spellEnd"/>
      <w:r w:rsidRPr="00EE0065">
        <w:rPr>
          <w:rFonts w:ascii="Times New Roman" w:eastAsia="Times New Roman" w:hAnsi="Times New Roman" w:cs="Times New Roman"/>
          <w:color w:val="000000"/>
          <w:sz w:val="27"/>
          <w:szCs w:val="27"/>
          <w:highlight w:val="yellow"/>
          <w:lang w:eastAsia="en-GB"/>
        </w:rPr>
        <w:t xml:space="preserve"> </w:t>
      </w:r>
      <w:proofErr w:type="spellStart"/>
      <w:r w:rsidRPr="00EE0065">
        <w:rPr>
          <w:rFonts w:ascii="Times New Roman" w:eastAsia="Times New Roman" w:hAnsi="Times New Roman" w:cs="Times New Roman"/>
          <w:color w:val="000000"/>
          <w:sz w:val="27"/>
          <w:szCs w:val="27"/>
          <w:highlight w:val="yellow"/>
          <w:lang w:eastAsia="en-GB"/>
        </w:rPr>
        <w:t>secundum</w:t>
      </w:r>
      <w:proofErr w:type="spellEnd"/>
      <w:r w:rsidRPr="00EE0065">
        <w:rPr>
          <w:rFonts w:ascii="Times New Roman" w:eastAsia="Times New Roman" w:hAnsi="Times New Roman" w:cs="Times New Roman"/>
          <w:color w:val="000000"/>
          <w:sz w:val="27"/>
          <w:szCs w:val="27"/>
          <w:highlight w:val="yellow"/>
          <w:lang w:eastAsia="en-GB"/>
        </w:rPr>
        <w:t xml:space="preserve"> </w:t>
      </w:r>
      <w:proofErr w:type="spellStart"/>
      <w:r w:rsidRPr="00EE0065">
        <w:rPr>
          <w:rFonts w:ascii="Times New Roman" w:eastAsia="Times New Roman" w:hAnsi="Times New Roman" w:cs="Times New Roman"/>
          <w:color w:val="000000"/>
          <w:sz w:val="27"/>
          <w:szCs w:val="27"/>
          <w:highlight w:val="yellow"/>
          <w:lang w:eastAsia="en-GB"/>
        </w:rPr>
        <w:t>ordinem</w:t>
      </w:r>
      <w:proofErr w:type="spellEnd"/>
      <w:r w:rsidRPr="00EE0065">
        <w:rPr>
          <w:rFonts w:ascii="Times New Roman" w:eastAsia="Times New Roman" w:hAnsi="Times New Roman" w:cs="Times New Roman"/>
          <w:color w:val="000000"/>
          <w:sz w:val="27"/>
          <w:szCs w:val="27"/>
          <w:highlight w:val="yellow"/>
          <w:lang w:eastAsia="en-GB"/>
        </w:rPr>
        <w:t xml:space="preserve"> </w:t>
      </w:r>
      <w:proofErr w:type="spellStart"/>
      <w:r w:rsidRPr="00EE0065">
        <w:rPr>
          <w:rFonts w:ascii="Times New Roman" w:eastAsia="Times New Roman" w:hAnsi="Times New Roman" w:cs="Times New Roman"/>
          <w:color w:val="000000"/>
          <w:sz w:val="27"/>
          <w:szCs w:val="27"/>
          <w:highlight w:val="yellow"/>
          <w:lang w:eastAsia="en-GB"/>
        </w:rPr>
        <w:t>Pandectarum</w:t>
      </w:r>
      <w:proofErr w:type="spellEnd"/>
      <w:r w:rsidRPr="00EE0065">
        <w:rPr>
          <w:rFonts w:ascii="Times New Roman" w:eastAsia="Times New Roman" w:hAnsi="Times New Roman" w:cs="Times New Roman"/>
          <w:color w:val="000000"/>
          <w:sz w:val="27"/>
          <w:szCs w:val="27"/>
          <w:highlight w:val="yellow"/>
          <w:lang w:eastAsia="en-GB"/>
        </w:rPr>
        <w:t xml:space="preserve">, </w:t>
      </w:r>
      <w:proofErr w:type="spellStart"/>
      <w:r w:rsidRPr="00EE0065">
        <w:rPr>
          <w:rFonts w:ascii="Times New Roman" w:eastAsia="Times New Roman" w:hAnsi="Times New Roman" w:cs="Times New Roman"/>
          <w:color w:val="000000"/>
          <w:sz w:val="27"/>
          <w:szCs w:val="27"/>
          <w:highlight w:val="yellow"/>
          <w:lang w:eastAsia="en-GB"/>
        </w:rPr>
        <w:t>Lib.I</w:t>
      </w:r>
      <w:proofErr w:type="spellEnd"/>
      <w:r w:rsidRPr="00EE0065">
        <w:rPr>
          <w:rFonts w:ascii="Times New Roman" w:eastAsia="Times New Roman" w:hAnsi="Times New Roman" w:cs="Times New Roman"/>
          <w:color w:val="000000"/>
          <w:sz w:val="27"/>
          <w:szCs w:val="27"/>
          <w:highlight w:val="yellow"/>
          <w:lang w:eastAsia="en-GB"/>
        </w:rPr>
        <w:t xml:space="preserve">. Tit VIII. Sec.199) where, in classifying things as moveable or immoveable he describes the latter as being things "quae </w:t>
      </w:r>
      <w:proofErr w:type="spellStart"/>
      <w:r w:rsidRPr="00EE0065">
        <w:rPr>
          <w:rFonts w:ascii="Times New Roman" w:eastAsia="Times New Roman" w:hAnsi="Times New Roman" w:cs="Times New Roman"/>
          <w:color w:val="000000"/>
          <w:sz w:val="27"/>
          <w:szCs w:val="27"/>
          <w:highlight w:val="yellow"/>
          <w:lang w:eastAsia="en-GB"/>
        </w:rPr>
        <w:t>vel</w:t>
      </w:r>
      <w:proofErr w:type="spellEnd"/>
      <w:r w:rsidRPr="00EE0065">
        <w:rPr>
          <w:rFonts w:ascii="Times New Roman" w:eastAsia="Times New Roman" w:hAnsi="Times New Roman" w:cs="Times New Roman"/>
          <w:color w:val="000000"/>
          <w:sz w:val="27"/>
          <w:szCs w:val="27"/>
          <w:highlight w:val="yellow"/>
          <w:lang w:eastAsia="en-GB"/>
        </w:rPr>
        <w:t xml:space="preserve"> </w:t>
      </w:r>
      <w:proofErr w:type="spellStart"/>
      <w:r w:rsidRPr="00EE0065">
        <w:rPr>
          <w:rFonts w:ascii="Times New Roman" w:eastAsia="Times New Roman" w:hAnsi="Times New Roman" w:cs="Times New Roman"/>
          <w:color w:val="000000"/>
          <w:sz w:val="27"/>
          <w:szCs w:val="27"/>
          <w:highlight w:val="yellow"/>
          <w:lang w:eastAsia="en-GB"/>
        </w:rPr>
        <w:t>salvae</w:t>
      </w:r>
      <w:proofErr w:type="spellEnd"/>
      <w:r w:rsidRPr="00EE0065">
        <w:rPr>
          <w:rFonts w:ascii="Times New Roman" w:eastAsia="Times New Roman" w:hAnsi="Times New Roman" w:cs="Times New Roman"/>
          <w:color w:val="000000"/>
          <w:sz w:val="27"/>
          <w:szCs w:val="27"/>
          <w:highlight w:val="yellow"/>
          <w:lang w:eastAsia="en-GB"/>
        </w:rPr>
        <w:t xml:space="preserve"> </w:t>
      </w:r>
      <w:proofErr w:type="spellStart"/>
      <w:r w:rsidRPr="00EE0065">
        <w:rPr>
          <w:rFonts w:ascii="Times New Roman" w:eastAsia="Times New Roman" w:hAnsi="Times New Roman" w:cs="Times New Roman"/>
          <w:color w:val="000000"/>
          <w:sz w:val="27"/>
          <w:szCs w:val="27"/>
          <w:highlight w:val="yellow"/>
          <w:lang w:eastAsia="en-GB"/>
        </w:rPr>
        <w:t>moveri</w:t>
      </w:r>
      <w:proofErr w:type="spellEnd"/>
      <w:r w:rsidRPr="00EE0065">
        <w:rPr>
          <w:rFonts w:ascii="Times New Roman" w:eastAsia="Times New Roman" w:hAnsi="Times New Roman" w:cs="Times New Roman"/>
          <w:color w:val="000000"/>
          <w:sz w:val="27"/>
          <w:szCs w:val="27"/>
          <w:highlight w:val="yellow"/>
          <w:lang w:eastAsia="en-GB"/>
        </w:rPr>
        <w:t xml:space="preserve"> </w:t>
      </w:r>
      <w:proofErr w:type="spellStart"/>
      <w:r w:rsidRPr="00EE0065">
        <w:rPr>
          <w:rFonts w:ascii="Times New Roman" w:eastAsia="Times New Roman" w:hAnsi="Times New Roman" w:cs="Times New Roman"/>
          <w:color w:val="000000"/>
          <w:sz w:val="27"/>
          <w:szCs w:val="27"/>
          <w:highlight w:val="yellow"/>
          <w:lang w:eastAsia="en-GB"/>
        </w:rPr>
        <w:t>nequeunt</w:t>
      </w:r>
      <w:proofErr w:type="spellEnd"/>
      <w:r w:rsidRPr="00EE0065">
        <w:rPr>
          <w:rFonts w:ascii="Times New Roman" w:eastAsia="Times New Roman" w:hAnsi="Times New Roman" w:cs="Times New Roman"/>
          <w:color w:val="000000"/>
          <w:sz w:val="27"/>
          <w:szCs w:val="27"/>
          <w:highlight w:val="yellow"/>
          <w:lang w:eastAsia="en-GB"/>
        </w:rPr>
        <w:t xml:space="preserve">, </w:t>
      </w:r>
      <w:proofErr w:type="spellStart"/>
      <w:r w:rsidRPr="00EE0065">
        <w:rPr>
          <w:rFonts w:ascii="Times New Roman" w:eastAsia="Times New Roman" w:hAnsi="Times New Roman" w:cs="Times New Roman"/>
          <w:color w:val="000000"/>
          <w:sz w:val="27"/>
          <w:szCs w:val="27"/>
          <w:highlight w:val="yellow"/>
          <w:lang w:eastAsia="en-GB"/>
        </w:rPr>
        <w:t>ut</w:t>
      </w:r>
      <w:proofErr w:type="spellEnd"/>
      <w:r w:rsidRPr="00EE0065">
        <w:rPr>
          <w:rFonts w:ascii="Times New Roman" w:eastAsia="Times New Roman" w:hAnsi="Times New Roman" w:cs="Times New Roman"/>
          <w:color w:val="000000"/>
          <w:sz w:val="27"/>
          <w:szCs w:val="27"/>
          <w:highlight w:val="yellow"/>
          <w:lang w:eastAsia="en-GB"/>
        </w:rPr>
        <w:t xml:space="preserve"> fundus, </w:t>
      </w:r>
      <w:proofErr w:type="spellStart"/>
      <w:r w:rsidRPr="00EE0065">
        <w:rPr>
          <w:rFonts w:ascii="Times New Roman" w:eastAsia="Times New Roman" w:hAnsi="Times New Roman" w:cs="Times New Roman"/>
          <w:color w:val="000000"/>
          <w:sz w:val="27"/>
          <w:szCs w:val="27"/>
          <w:highlight w:val="yellow"/>
          <w:lang w:eastAsia="en-GB"/>
        </w:rPr>
        <w:t>aedes</w:t>
      </w:r>
      <w:proofErr w:type="spellEnd"/>
      <w:r w:rsidRPr="00EE0065">
        <w:rPr>
          <w:rFonts w:ascii="Times New Roman" w:eastAsia="Times New Roman" w:hAnsi="Times New Roman" w:cs="Times New Roman"/>
          <w:color w:val="000000"/>
          <w:sz w:val="27"/>
          <w:szCs w:val="27"/>
          <w:highlight w:val="yellow"/>
          <w:lang w:eastAsia="en-GB"/>
        </w:rPr>
        <w:t xml:space="preserve">, ager . . . </w:t>
      </w:r>
      <w:proofErr w:type="spellStart"/>
      <w:r w:rsidRPr="00EE0065">
        <w:rPr>
          <w:rFonts w:ascii="Times New Roman" w:eastAsia="Times New Roman" w:hAnsi="Times New Roman" w:cs="Times New Roman"/>
          <w:color w:val="000000"/>
          <w:sz w:val="27"/>
          <w:szCs w:val="27"/>
          <w:highlight w:val="yellow"/>
          <w:lang w:eastAsia="en-GB"/>
        </w:rPr>
        <w:t>vel</w:t>
      </w:r>
      <w:proofErr w:type="spellEnd"/>
      <w:r w:rsidRPr="00EE0065">
        <w:rPr>
          <w:rFonts w:ascii="Times New Roman" w:eastAsia="Times New Roman" w:hAnsi="Times New Roman" w:cs="Times New Roman"/>
          <w:color w:val="000000"/>
          <w:sz w:val="27"/>
          <w:szCs w:val="27"/>
          <w:highlight w:val="yellow"/>
          <w:lang w:eastAsia="en-GB"/>
        </w:rPr>
        <w:t xml:space="preserve"> </w:t>
      </w:r>
      <w:proofErr w:type="spellStart"/>
      <w:r w:rsidRPr="00EE0065">
        <w:rPr>
          <w:rFonts w:ascii="Times New Roman" w:eastAsia="Times New Roman" w:hAnsi="Times New Roman" w:cs="Times New Roman"/>
          <w:color w:val="000000"/>
          <w:sz w:val="27"/>
          <w:szCs w:val="27"/>
          <w:highlight w:val="yellow"/>
          <w:lang w:eastAsia="en-GB"/>
        </w:rPr>
        <w:t>usus</w:t>
      </w:r>
      <w:proofErr w:type="spellEnd"/>
      <w:r w:rsidRPr="00EE0065">
        <w:rPr>
          <w:rFonts w:ascii="Times New Roman" w:eastAsia="Times New Roman" w:hAnsi="Times New Roman" w:cs="Times New Roman"/>
          <w:color w:val="000000"/>
          <w:sz w:val="27"/>
          <w:szCs w:val="27"/>
          <w:highlight w:val="yellow"/>
          <w:lang w:eastAsia="en-GB"/>
        </w:rPr>
        <w:t xml:space="preserve"> </w:t>
      </w:r>
      <w:proofErr w:type="spellStart"/>
      <w:r w:rsidRPr="00EE0065">
        <w:rPr>
          <w:rFonts w:ascii="Times New Roman" w:eastAsia="Times New Roman" w:hAnsi="Times New Roman" w:cs="Times New Roman"/>
          <w:color w:val="000000"/>
          <w:sz w:val="27"/>
          <w:szCs w:val="27"/>
          <w:highlight w:val="yellow"/>
          <w:lang w:eastAsia="en-GB"/>
        </w:rPr>
        <w:t>perpetui</w:t>
      </w:r>
      <w:proofErr w:type="spellEnd"/>
      <w:r w:rsidRPr="00EE0065">
        <w:rPr>
          <w:rFonts w:ascii="Times New Roman" w:eastAsia="Times New Roman" w:hAnsi="Times New Roman" w:cs="Times New Roman"/>
          <w:color w:val="000000"/>
          <w:sz w:val="27"/>
          <w:szCs w:val="27"/>
          <w:highlight w:val="yellow"/>
          <w:lang w:eastAsia="en-GB"/>
        </w:rPr>
        <w:t xml:space="preserve"> causa </w:t>
      </w:r>
      <w:proofErr w:type="spellStart"/>
      <w:r w:rsidRPr="00EE0065">
        <w:rPr>
          <w:rFonts w:ascii="Times New Roman" w:eastAsia="Times New Roman" w:hAnsi="Times New Roman" w:cs="Times New Roman"/>
          <w:color w:val="000000"/>
          <w:sz w:val="27"/>
          <w:szCs w:val="27"/>
          <w:highlight w:val="yellow"/>
          <w:lang w:eastAsia="en-GB"/>
        </w:rPr>
        <w:t>iunguntur</w:t>
      </w:r>
      <w:proofErr w:type="spellEnd"/>
      <w:r w:rsidRPr="00EE0065">
        <w:rPr>
          <w:rFonts w:ascii="Times New Roman" w:eastAsia="Times New Roman" w:hAnsi="Times New Roman" w:cs="Times New Roman"/>
          <w:color w:val="000000"/>
          <w:sz w:val="27"/>
          <w:szCs w:val="27"/>
          <w:highlight w:val="yellow"/>
          <w:lang w:eastAsia="en-GB"/>
        </w:rPr>
        <w:t xml:space="preserve"> </w:t>
      </w:r>
      <w:proofErr w:type="spellStart"/>
      <w:r w:rsidRPr="00EE0065">
        <w:rPr>
          <w:rFonts w:ascii="Times New Roman" w:eastAsia="Times New Roman" w:hAnsi="Times New Roman" w:cs="Times New Roman"/>
          <w:color w:val="000000"/>
          <w:sz w:val="27"/>
          <w:szCs w:val="27"/>
          <w:highlight w:val="yellow"/>
          <w:lang w:eastAsia="en-GB"/>
        </w:rPr>
        <w:t>immobilibus</w:t>
      </w:r>
      <w:proofErr w:type="spellEnd"/>
      <w:r w:rsidRPr="00EE0065">
        <w:rPr>
          <w:rFonts w:ascii="Times New Roman" w:eastAsia="Times New Roman" w:hAnsi="Times New Roman" w:cs="Times New Roman"/>
          <w:color w:val="000000"/>
          <w:sz w:val="27"/>
          <w:szCs w:val="27"/>
          <w:highlight w:val="yellow"/>
          <w:lang w:eastAsia="en-GB"/>
        </w:rPr>
        <w:t xml:space="preserve">, </w:t>
      </w:r>
      <w:proofErr w:type="spellStart"/>
      <w:r w:rsidRPr="00EE0065">
        <w:rPr>
          <w:rFonts w:ascii="Times New Roman" w:eastAsia="Times New Roman" w:hAnsi="Times New Roman" w:cs="Times New Roman"/>
          <w:color w:val="000000"/>
          <w:sz w:val="27"/>
          <w:szCs w:val="27"/>
          <w:highlight w:val="yellow"/>
          <w:lang w:eastAsia="en-GB"/>
        </w:rPr>
        <w:t>aut</w:t>
      </w:r>
      <w:proofErr w:type="spellEnd"/>
      <w:r w:rsidRPr="00EE0065">
        <w:rPr>
          <w:rFonts w:ascii="Times New Roman" w:eastAsia="Times New Roman" w:hAnsi="Times New Roman" w:cs="Times New Roman"/>
          <w:color w:val="000000"/>
          <w:sz w:val="27"/>
          <w:szCs w:val="27"/>
          <w:highlight w:val="yellow"/>
          <w:lang w:eastAsia="en-GB"/>
        </w:rPr>
        <w:t xml:space="preserve"> </w:t>
      </w:r>
      <w:proofErr w:type="spellStart"/>
      <w:r w:rsidRPr="00EE0065">
        <w:rPr>
          <w:rFonts w:ascii="Times New Roman" w:eastAsia="Times New Roman" w:hAnsi="Times New Roman" w:cs="Times New Roman"/>
          <w:color w:val="000000"/>
          <w:sz w:val="27"/>
          <w:szCs w:val="27"/>
          <w:highlight w:val="yellow"/>
          <w:lang w:eastAsia="en-GB"/>
        </w:rPr>
        <w:t>horum</w:t>
      </w:r>
      <w:proofErr w:type="spellEnd"/>
      <w:r w:rsidRPr="00EE0065">
        <w:rPr>
          <w:rFonts w:ascii="Times New Roman" w:eastAsia="Times New Roman" w:hAnsi="Times New Roman" w:cs="Times New Roman"/>
          <w:color w:val="000000"/>
          <w:sz w:val="27"/>
          <w:szCs w:val="27"/>
          <w:highlight w:val="yellow"/>
          <w:lang w:eastAsia="en-GB"/>
        </w:rPr>
        <w:t xml:space="preserve"> </w:t>
      </w:r>
      <w:proofErr w:type="spellStart"/>
      <w:r w:rsidRPr="00EE0065">
        <w:rPr>
          <w:rFonts w:ascii="Times New Roman" w:eastAsia="Times New Roman" w:hAnsi="Times New Roman" w:cs="Times New Roman"/>
          <w:color w:val="000000"/>
          <w:sz w:val="27"/>
          <w:szCs w:val="27"/>
          <w:highlight w:val="yellow"/>
          <w:lang w:eastAsia="en-GB"/>
        </w:rPr>
        <w:t>usui</w:t>
      </w:r>
      <w:proofErr w:type="spellEnd"/>
      <w:r w:rsidRPr="00EE0065">
        <w:rPr>
          <w:rFonts w:ascii="Times New Roman" w:eastAsia="Times New Roman" w:hAnsi="Times New Roman" w:cs="Times New Roman"/>
          <w:color w:val="000000"/>
          <w:sz w:val="27"/>
          <w:szCs w:val="27"/>
          <w:highlight w:val="yellow"/>
          <w:lang w:eastAsia="en-GB"/>
        </w:rPr>
        <w:t xml:space="preserve"> </w:t>
      </w:r>
      <w:proofErr w:type="spellStart"/>
      <w:r w:rsidRPr="00EE0065">
        <w:rPr>
          <w:rFonts w:ascii="Times New Roman" w:eastAsia="Times New Roman" w:hAnsi="Times New Roman" w:cs="Times New Roman"/>
          <w:color w:val="000000"/>
          <w:sz w:val="27"/>
          <w:szCs w:val="27"/>
          <w:highlight w:val="yellow"/>
          <w:lang w:eastAsia="en-GB"/>
        </w:rPr>
        <w:t>destinantur</w:t>
      </w:r>
      <w:proofErr w:type="spellEnd"/>
      <w:r w:rsidRPr="00EE0065">
        <w:rPr>
          <w:rFonts w:ascii="Times New Roman" w:eastAsia="Times New Roman" w:hAnsi="Times New Roman" w:cs="Times New Roman"/>
          <w:color w:val="000000"/>
          <w:sz w:val="27"/>
          <w:szCs w:val="27"/>
          <w:highlight w:val="yellow"/>
          <w:lang w:eastAsia="en-GB"/>
        </w:rPr>
        <w:t>."</w:t>
      </w:r>
    </w:p>
    <w:p w:rsidR="00A013C1" w:rsidRPr="00A013C1" w:rsidRDefault="00A013C1" w:rsidP="00A013C1">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A013C1">
        <w:rPr>
          <w:rFonts w:ascii="Times New Roman" w:eastAsia="Times New Roman" w:hAnsi="Times New Roman" w:cs="Times New Roman"/>
          <w:color w:val="000000"/>
          <w:sz w:val="27"/>
          <w:szCs w:val="27"/>
          <w:lang w:eastAsia="en-GB"/>
        </w:rPr>
        <w:t xml:space="preserve">      The first of these factors may serve both to identify an item as being real property in its own right and to indicate a case of accession. </w:t>
      </w:r>
      <w:r w:rsidRPr="00F14550">
        <w:rPr>
          <w:rFonts w:ascii="Times New Roman" w:eastAsia="Times New Roman" w:hAnsi="Times New Roman" w:cs="Times New Roman"/>
          <w:color w:val="000000"/>
          <w:sz w:val="27"/>
          <w:szCs w:val="27"/>
          <w:highlight w:val="yellow"/>
          <w:lang w:eastAsia="en-GB"/>
        </w:rPr>
        <w:t>But account has also to be taken of the degree of physical attachment and the possibility or impossibility of restoring the article from its constituent parts after dissolution</w:t>
      </w:r>
      <w:r w:rsidRPr="00A013C1">
        <w:rPr>
          <w:rFonts w:ascii="Times New Roman" w:eastAsia="Times New Roman" w:hAnsi="Times New Roman" w:cs="Times New Roman"/>
          <w:color w:val="000000"/>
          <w:sz w:val="27"/>
          <w:szCs w:val="27"/>
          <w:lang w:eastAsia="en-GB"/>
        </w:rPr>
        <w:t>. In one early Scottish case large leaden vessels which were not fastened to the building in any way but simply rested by their own weight were held to be heritable since they had had to be taken to pieces in order to be removed and had then been sold as old lead: </w:t>
      </w:r>
      <w:r w:rsidRPr="00A013C1">
        <w:rPr>
          <w:rFonts w:ascii="Times New Roman" w:eastAsia="Times New Roman" w:hAnsi="Times New Roman" w:cs="Times New Roman"/>
          <w:i/>
          <w:iCs/>
          <w:color w:val="000000"/>
          <w:sz w:val="27"/>
          <w:szCs w:val="27"/>
          <w:lang w:eastAsia="en-GB"/>
        </w:rPr>
        <w:t>Niven v. Pitcairn</w:t>
      </w:r>
      <w:r w:rsidRPr="00A013C1">
        <w:rPr>
          <w:rFonts w:ascii="Times New Roman" w:eastAsia="Times New Roman" w:hAnsi="Times New Roman" w:cs="Times New Roman"/>
          <w:color w:val="000000"/>
          <w:sz w:val="27"/>
          <w:szCs w:val="27"/>
          <w:lang w:eastAsia="en-GB"/>
        </w:rPr>
        <w:t xml:space="preserve"> (1823) 2 S. 270. </w:t>
      </w:r>
      <w:r w:rsidRPr="009B6779">
        <w:rPr>
          <w:rFonts w:ascii="Times New Roman" w:eastAsia="Times New Roman" w:hAnsi="Times New Roman" w:cs="Times New Roman"/>
          <w:color w:val="000000"/>
          <w:sz w:val="27"/>
          <w:szCs w:val="27"/>
          <w:highlight w:val="yellow"/>
          <w:lang w:eastAsia="en-GB"/>
        </w:rPr>
        <w:t>In </w:t>
      </w:r>
      <w:r w:rsidRPr="009B6779">
        <w:rPr>
          <w:rFonts w:ascii="Times New Roman" w:eastAsia="Times New Roman" w:hAnsi="Times New Roman" w:cs="Times New Roman"/>
          <w:i/>
          <w:iCs/>
          <w:color w:val="000000"/>
          <w:sz w:val="27"/>
          <w:szCs w:val="27"/>
          <w:highlight w:val="yellow"/>
          <w:lang w:eastAsia="en-GB"/>
        </w:rPr>
        <w:t>Hellawell v. Eastwood</w:t>
      </w:r>
      <w:r w:rsidRPr="009B6779">
        <w:rPr>
          <w:rFonts w:ascii="Times New Roman" w:eastAsia="Times New Roman" w:hAnsi="Times New Roman" w:cs="Times New Roman"/>
          <w:color w:val="000000"/>
          <w:sz w:val="27"/>
          <w:szCs w:val="27"/>
          <w:highlight w:val="yellow"/>
          <w:lang w:eastAsia="en-GB"/>
        </w:rPr>
        <w:t xml:space="preserve"> (1851) 6 Exch. 295, 312, Parke B., in considering the mode and extent of annexation of the articles in that case, referred to the consideration whether the object in question "can easily be removed, integré, salvé, et commodé, or not, without injury to itself or the fabric of the building." It </w:t>
      </w:r>
      <w:r w:rsidRPr="00F14550">
        <w:rPr>
          <w:rFonts w:ascii="Times New Roman" w:eastAsia="Times New Roman" w:hAnsi="Times New Roman" w:cs="Times New Roman"/>
          <w:color w:val="000000"/>
          <w:sz w:val="27"/>
          <w:szCs w:val="27"/>
          <w:highlight w:val="yellow"/>
          <w:lang w:eastAsia="en-GB"/>
        </w:rPr>
        <w:t xml:space="preserve">is agreed in the present case that as matter of fact that "the bungalow is not removable in one piece; nor is it demountable for re-erection </w:t>
      </w:r>
      <w:r w:rsidRPr="00F14550">
        <w:rPr>
          <w:rFonts w:ascii="Times New Roman" w:eastAsia="Times New Roman" w:hAnsi="Times New Roman" w:cs="Times New Roman"/>
          <w:color w:val="000000"/>
          <w:sz w:val="27"/>
          <w:szCs w:val="27"/>
          <w:highlight w:val="yellow"/>
          <w:lang w:eastAsia="en-GB"/>
        </w:rPr>
        <w:lastRenderedPageBreak/>
        <w:t>elsewhere". That agreed finding is in my view one powerful indication that it is not of the nature of a chattel.</w:t>
      </w:r>
    </w:p>
    <w:p w:rsidR="00A013C1" w:rsidRPr="00A013C1" w:rsidRDefault="00A013C1" w:rsidP="00A013C1">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A013C1">
        <w:rPr>
          <w:rFonts w:ascii="Times New Roman" w:eastAsia="Times New Roman" w:hAnsi="Times New Roman" w:cs="Times New Roman"/>
          <w:color w:val="000000"/>
          <w:sz w:val="27"/>
          <w:szCs w:val="27"/>
          <w:lang w:eastAsia="en-GB"/>
        </w:rPr>
        <w:t>      In many cases the problem of accession arises in relation to some article or articles which have been placed in or affixed to a building. An unusual, although by no means unique, feature of the present case is that the alleged chattel is the building itself. This invites the approach of simply asking whether it is real property in its own right. Apart from the considerations which I already mentioned it seems to me that it is proper to have regard to the genus of the alleged chattel. That approach was adopted in the Australian case, </w:t>
      </w:r>
      <w:r w:rsidRPr="00A013C1">
        <w:rPr>
          <w:rFonts w:ascii="Times New Roman" w:eastAsia="Times New Roman" w:hAnsi="Times New Roman" w:cs="Times New Roman"/>
          <w:i/>
          <w:iCs/>
          <w:color w:val="000000"/>
          <w:sz w:val="27"/>
          <w:szCs w:val="27"/>
          <w:lang w:eastAsia="en-GB"/>
        </w:rPr>
        <w:t>Reid v. Smith</w:t>
      </w:r>
      <w:r w:rsidRPr="00A013C1">
        <w:rPr>
          <w:rFonts w:ascii="Times New Roman" w:eastAsia="Times New Roman" w:hAnsi="Times New Roman" w:cs="Times New Roman"/>
          <w:color w:val="000000"/>
          <w:sz w:val="27"/>
          <w:szCs w:val="27"/>
          <w:lang w:eastAsia="en-GB"/>
        </w:rPr>
        <w:t> (1905) </w:t>
      </w:r>
      <w:hyperlink r:id="rId15" w:history="1">
        <w:r w:rsidRPr="00A013C1">
          <w:rPr>
            <w:rFonts w:ascii="Times New Roman" w:eastAsia="Times New Roman" w:hAnsi="Times New Roman" w:cs="Times New Roman"/>
            <w:color w:val="0000FF"/>
            <w:sz w:val="27"/>
            <w:szCs w:val="27"/>
            <w:u w:val="single"/>
            <w:lang w:eastAsia="en-GB"/>
          </w:rPr>
          <w:t>3 C.L.R. 656</w:t>
        </w:r>
      </w:hyperlink>
      <w:r w:rsidRPr="00A013C1">
        <w:rPr>
          <w:rFonts w:ascii="Times New Roman" w:eastAsia="Times New Roman" w:hAnsi="Times New Roman" w:cs="Times New Roman"/>
          <w:color w:val="000000"/>
          <w:sz w:val="27"/>
          <w:szCs w:val="27"/>
          <w:lang w:eastAsia="en-GB"/>
        </w:rPr>
        <w:t>. At p. 668 Griffith C.J. said under reference to the decision in the lower court:</w:t>
      </w:r>
    </w:p>
    <w:p w:rsidR="00A013C1" w:rsidRPr="00A013C1" w:rsidRDefault="00A013C1" w:rsidP="00A013C1">
      <w:pPr>
        <w:spacing w:after="0" w:line="240" w:lineRule="auto"/>
        <w:ind w:left="720"/>
        <w:rPr>
          <w:rFonts w:ascii="Times New Roman" w:eastAsia="Times New Roman" w:hAnsi="Times New Roman" w:cs="Times New Roman"/>
          <w:color w:val="000000"/>
          <w:sz w:val="27"/>
          <w:szCs w:val="27"/>
          <w:lang w:eastAsia="en-GB"/>
        </w:rPr>
      </w:pPr>
      <w:r w:rsidRPr="00A013C1">
        <w:rPr>
          <w:rFonts w:ascii="Times New Roman" w:eastAsia="Times New Roman" w:hAnsi="Times New Roman" w:cs="Times New Roman"/>
          <w:color w:val="000000"/>
          <w:sz w:val="27"/>
          <w:szCs w:val="27"/>
          <w:lang w:eastAsia="en-GB"/>
        </w:rPr>
        <w:t> "I differ from the learned judge in thinking that it is not sufficient to show that the thing in question is a dwelling-house -- an ordinary dwelling-house, on a town allotment, in an inhabited town. In the case of a similar building in another part of the country, erected under entirely different circumstances, a different conclusion might be drawn."</w:t>
      </w:r>
    </w:p>
    <w:p w:rsidR="00A013C1" w:rsidRPr="00A013C1" w:rsidRDefault="00A013C1" w:rsidP="00A013C1">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A013C1">
        <w:rPr>
          <w:rFonts w:ascii="Times New Roman" w:eastAsia="Times New Roman" w:hAnsi="Times New Roman" w:cs="Times New Roman"/>
          <w:color w:val="000000"/>
          <w:sz w:val="27"/>
          <w:szCs w:val="27"/>
          <w:lang w:eastAsia="en-GB"/>
        </w:rPr>
        <w:t>O'Connor J. put the point more strongly, at p. 679:</w:t>
      </w:r>
    </w:p>
    <w:p w:rsidR="00A013C1" w:rsidRPr="00A013C1" w:rsidRDefault="00A013C1" w:rsidP="00A013C1">
      <w:pPr>
        <w:spacing w:after="0" w:line="240" w:lineRule="auto"/>
        <w:ind w:left="720"/>
        <w:rPr>
          <w:rFonts w:ascii="Times New Roman" w:eastAsia="Times New Roman" w:hAnsi="Times New Roman" w:cs="Times New Roman"/>
          <w:color w:val="000000"/>
          <w:sz w:val="27"/>
          <w:szCs w:val="27"/>
          <w:lang w:eastAsia="en-GB"/>
        </w:rPr>
      </w:pPr>
      <w:r w:rsidRPr="00A013C1">
        <w:rPr>
          <w:rFonts w:ascii="Times New Roman" w:eastAsia="Times New Roman" w:hAnsi="Times New Roman" w:cs="Times New Roman"/>
          <w:color w:val="000000"/>
          <w:sz w:val="27"/>
          <w:szCs w:val="27"/>
          <w:lang w:eastAsia="en-GB"/>
        </w:rPr>
        <w:t> "It would I think be stretching the rules of the common law to a point at which they cease to be rules of common sense, if it were to be laid down as a general rule that, except in very exceptional cases, wooden houses, resting by their own weight on land, could ever be regarded as mere chattels, removable at the will of the owner of the timber of which they are built."</w:t>
      </w:r>
    </w:p>
    <w:p w:rsidR="00A013C1" w:rsidRPr="00A013C1" w:rsidRDefault="00A013C1" w:rsidP="00A013C1">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A013C1">
        <w:rPr>
          <w:rFonts w:ascii="Times New Roman" w:eastAsia="Times New Roman" w:hAnsi="Times New Roman" w:cs="Times New Roman"/>
          <w:color w:val="000000"/>
          <w:sz w:val="27"/>
          <w:szCs w:val="27"/>
          <w:lang w:eastAsia="en-GB"/>
        </w:rPr>
        <w:t>      In several cases before the Lands Valuation Appeal Court in Scotland where the issue has arisen whether particular subjects are heritable or moveable for the purposes of valuation for local taxation the test has been applied by asking the question whether the particular subjects belong to a genus which is prima facie of a heritable character and, if they are, whether there are any special facts to deprive them of that character. This approach was recognised in </w:t>
      </w:r>
      <w:r w:rsidRPr="00A013C1">
        <w:rPr>
          <w:rFonts w:ascii="Times New Roman" w:eastAsia="Times New Roman" w:hAnsi="Times New Roman" w:cs="Times New Roman"/>
          <w:i/>
          <w:iCs/>
          <w:color w:val="000000"/>
          <w:sz w:val="27"/>
          <w:szCs w:val="27"/>
          <w:lang w:eastAsia="en-GB"/>
        </w:rPr>
        <w:t xml:space="preserve">Assessor for the City of Glasgow v. </w:t>
      </w:r>
      <w:proofErr w:type="spellStart"/>
      <w:r w:rsidRPr="00A013C1">
        <w:rPr>
          <w:rFonts w:ascii="Times New Roman" w:eastAsia="Times New Roman" w:hAnsi="Times New Roman" w:cs="Times New Roman"/>
          <w:i/>
          <w:iCs/>
          <w:color w:val="000000"/>
          <w:sz w:val="27"/>
          <w:szCs w:val="27"/>
          <w:lang w:eastAsia="en-GB"/>
        </w:rPr>
        <w:t>Gilmartin</w:t>
      </w:r>
      <w:proofErr w:type="spellEnd"/>
      <w:r w:rsidRPr="00A013C1">
        <w:rPr>
          <w:rFonts w:ascii="Times New Roman" w:eastAsia="Times New Roman" w:hAnsi="Times New Roman" w:cs="Times New Roman"/>
          <w:color w:val="000000"/>
          <w:sz w:val="27"/>
          <w:szCs w:val="27"/>
          <w:lang w:eastAsia="en-GB"/>
        </w:rPr>
        <w:t>, 1920 S.C. 488 and in </w:t>
      </w:r>
      <w:r w:rsidRPr="00A013C1">
        <w:rPr>
          <w:rFonts w:ascii="Times New Roman" w:eastAsia="Times New Roman" w:hAnsi="Times New Roman" w:cs="Times New Roman"/>
          <w:i/>
          <w:iCs/>
          <w:color w:val="000000"/>
          <w:sz w:val="27"/>
          <w:szCs w:val="27"/>
          <w:lang w:eastAsia="en-GB"/>
        </w:rPr>
        <w:t>John Menzies &amp; Co. Ltd. v. Assessor for Edinburgh</w:t>
      </w:r>
      <w:r w:rsidRPr="00A013C1">
        <w:rPr>
          <w:rFonts w:ascii="Times New Roman" w:eastAsia="Times New Roman" w:hAnsi="Times New Roman" w:cs="Times New Roman"/>
          <w:color w:val="000000"/>
          <w:sz w:val="27"/>
          <w:szCs w:val="27"/>
          <w:lang w:eastAsia="en-GB"/>
        </w:rPr>
        <w:t>, 1937 S.C. 784. It was later applied to such subjects as residential chalets: </w:t>
      </w:r>
      <w:r w:rsidRPr="00A013C1">
        <w:rPr>
          <w:rFonts w:ascii="Times New Roman" w:eastAsia="Times New Roman" w:hAnsi="Times New Roman" w:cs="Times New Roman"/>
          <w:i/>
          <w:iCs/>
          <w:color w:val="000000"/>
          <w:sz w:val="27"/>
          <w:szCs w:val="27"/>
          <w:lang w:eastAsia="en-GB"/>
        </w:rPr>
        <w:t>Assessor for Renfrewshire v. Mitchell</w:t>
      </w:r>
      <w:r w:rsidRPr="00A013C1">
        <w:rPr>
          <w:rFonts w:ascii="Times New Roman" w:eastAsia="Times New Roman" w:hAnsi="Times New Roman" w:cs="Times New Roman"/>
          <w:color w:val="000000"/>
          <w:sz w:val="27"/>
          <w:szCs w:val="27"/>
          <w:lang w:eastAsia="en-GB"/>
        </w:rPr>
        <w:t> 1966 S.L.T. 53, contractors' huts: </w:t>
      </w:r>
      <w:r w:rsidRPr="00A013C1">
        <w:rPr>
          <w:rFonts w:ascii="Times New Roman" w:eastAsia="Times New Roman" w:hAnsi="Times New Roman" w:cs="Times New Roman"/>
          <w:i/>
          <w:iCs/>
          <w:color w:val="000000"/>
          <w:sz w:val="27"/>
          <w:szCs w:val="27"/>
          <w:lang w:eastAsia="en-GB"/>
        </w:rPr>
        <w:t xml:space="preserve">Assessor for </w:t>
      </w:r>
      <w:proofErr w:type="spellStart"/>
      <w:r w:rsidRPr="00A013C1">
        <w:rPr>
          <w:rFonts w:ascii="Times New Roman" w:eastAsia="Times New Roman" w:hAnsi="Times New Roman" w:cs="Times New Roman"/>
          <w:i/>
          <w:iCs/>
          <w:color w:val="000000"/>
          <w:sz w:val="27"/>
          <w:szCs w:val="27"/>
          <w:lang w:eastAsia="en-GB"/>
        </w:rPr>
        <w:t>Dunbarton</w:t>
      </w:r>
      <w:proofErr w:type="spellEnd"/>
      <w:r w:rsidRPr="00A013C1">
        <w:rPr>
          <w:rFonts w:ascii="Times New Roman" w:eastAsia="Times New Roman" w:hAnsi="Times New Roman" w:cs="Times New Roman"/>
          <w:i/>
          <w:iCs/>
          <w:color w:val="000000"/>
          <w:sz w:val="27"/>
          <w:szCs w:val="27"/>
          <w:lang w:eastAsia="en-GB"/>
        </w:rPr>
        <w:t xml:space="preserve"> v. L.K. McKenzie and Partners</w:t>
      </w:r>
      <w:r w:rsidRPr="00A013C1">
        <w:rPr>
          <w:rFonts w:ascii="Times New Roman" w:eastAsia="Times New Roman" w:hAnsi="Times New Roman" w:cs="Times New Roman"/>
          <w:color w:val="000000"/>
          <w:sz w:val="27"/>
          <w:szCs w:val="27"/>
          <w:lang w:eastAsia="en-GB"/>
        </w:rPr>
        <w:t> 1968 S.L.T. 82 and static caravans: </w:t>
      </w:r>
      <w:proofErr w:type="spellStart"/>
      <w:r w:rsidRPr="00A013C1">
        <w:rPr>
          <w:rFonts w:ascii="Times New Roman" w:eastAsia="Times New Roman" w:hAnsi="Times New Roman" w:cs="Times New Roman"/>
          <w:i/>
          <w:iCs/>
          <w:color w:val="000000"/>
          <w:sz w:val="27"/>
          <w:szCs w:val="27"/>
          <w:lang w:eastAsia="en-GB"/>
        </w:rPr>
        <w:t>Redgate</w:t>
      </w:r>
      <w:proofErr w:type="spellEnd"/>
      <w:r w:rsidRPr="00A013C1">
        <w:rPr>
          <w:rFonts w:ascii="Times New Roman" w:eastAsia="Times New Roman" w:hAnsi="Times New Roman" w:cs="Times New Roman"/>
          <w:i/>
          <w:iCs/>
          <w:color w:val="000000"/>
          <w:sz w:val="27"/>
          <w:szCs w:val="27"/>
          <w:lang w:eastAsia="en-GB"/>
        </w:rPr>
        <w:t xml:space="preserve"> Caravan Parks Ltd. v. Assessor for Ayrshire</w:t>
      </w:r>
      <w:r w:rsidRPr="00A013C1">
        <w:rPr>
          <w:rFonts w:ascii="Times New Roman" w:eastAsia="Times New Roman" w:hAnsi="Times New Roman" w:cs="Times New Roman"/>
          <w:color w:val="000000"/>
          <w:sz w:val="27"/>
          <w:szCs w:val="27"/>
          <w:lang w:eastAsia="en-GB"/>
        </w:rPr>
        <w:t xml:space="preserve"> 1973 S.L.T. 52. Beyond question Mr. Morris' bungalow is of the genus "dwelling-house" and </w:t>
      </w:r>
      <w:r w:rsidRPr="00874B97">
        <w:rPr>
          <w:rFonts w:ascii="Times New Roman" w:eastAsia="Times New Roman" w:hAnsi="Times New Roman" w:cs="Times New Roman"/>
          <w:color w:val="000000"/>
          <w:sz w:val="27"/>
          <w:szCs w:val="27"/>
          <w:highlight w:val="yellow"/>
          <w:lang w:eastAsia="en-GB"/>
        </w:rPr>
        <w:t>dwelling houses are generally of the nature of real property</w:t>
      </w:r>
      <w:r w:rsidRPr="00A013C1">
        <w:rPr>
          <w:rFonts w:ascii="Times New Roman" w:eastAsia="Times New Roman" w:hAnsi="Times New Roman" w:cs="Times New Roman"/>
          <w:color w:val="000000"/>
          <w:sz w:val="27"/>
          <w:szCs w:val="27"/>
          <w:lang w:eastAsia="en-GB"/>
        </w:rPr>
        <w:t>. While it is situated in a rural setting it evidently forms part of a development of a number of other houses whose positions are even noted on the ordnance survey map. I find no factors which would justify taking it out of the category of dwelling-houses. On the contrary there are powerful indications that it and its constituent parts do not possess the character of a chattel. It seems to me to be real property.</w:t>
      </w:r>
    </w:p>
    <w:p w:rsidR="00A013C1" w:rsidRPr="00427BCD" w:rsidRDefault="00A013C1" w:rsidP="00A013C1">
      <w:pPr>
        <w:spacing w:before="100" w:beforeAutospacing="1" w:after="100" w:afterAutospacing="1" w:line="240" w:lineRule="auto"/>
        <w:rPr>
          <w:rFonts w:ascii="Times New Roman" w:eastAsia="Times New Roman" w:hAnsi="Times New Roman" w:cs="Times New Roman"/>
          <w:color w:val="000000"/>
          <w:sz w:val="27"/>
          <w:szCs w:val="27"/>
          <w:highlight w:val="yellow"/>
          <w:lang w:eastAsia="en-GB"/>
        </w:rPr>
      </w:pPr>
      <w:r w:rsidRPr="00A013C1">
        <w:rPr>
          <w:rFonts w:ascii="Times New Roman" w:eastAsia="Times New Roman" w:hAnsi="Times New Roman" w:cs="Times New Roman"/>
          <w:color w:val="000000"/>
          <w:sz w:val="27"/>
          <w:szCs w:val="27"/>
          <w:lang w:eastAsia="en-GB"/>
        </w:rPr>
        <w:lastRenderedPageBreak/>
        <w:t>      If the problem is approached as one of accession it has to be noted that in the present case the bungalow is not attached or secured to any realty. It is not joined by any physical link which would require to be severed for it to be detached. But accession can operate even where there is only a juxtaposition without any physical bond between the article and the freehold. Thus the sculptures in </w:t>
      </w:r>
      <w:proofErr w:type="spellStart"/>
      <w:r w:rsidRPr="00A013C1">
        <w:rPr>
          <w:rFonts w:ascii="Times New Roman" w:eastAsia="Times New Roman" w:hAnsi="Times New Roman" w:cs="Times New Roman"/>
          <w:i/>
          <w:iCs/>
          <w:color w:val="000000"/>
          <w:sz w:val="27"/>
          <w:szCs w:val="27"/>
          <w:lang w:eastAsia="en-GB"/>
        </w:rPr>
        <w:t>D'Eyncourt</w:t>
      </w:r>
      <w:proofErr w:type="spellEnd"/>
      <w:r w:rsidRPr="00A013C1">
        <w:rPr>
          <w:rFonts w:ascii="Times New Roman" w:eastAsia="Times New Roman" w:hAnsi="Times New Roman" w:cs="Times New Roman"/>
          <w:i/>
          <w:iCs/>
          <w:color w:val="000000"/>
          <w:sz w:val="27"/>
          <w:szCs w:val="27"/>
          <w:lang w:eastAsia="en-GB"/>
        </w:rPr>
        <w:t xml:space="preserve"> v. Gregory</w:t>
      </w:r>
      <w:r w:rsidRPr="00A013C1">
        <w:rPr>
          <w:rFonts w:ascii="Times New Roman" w:eastAsia="Times New Roman" w:hAnsi="Times New Roman" w:cs="Times New Roman"/>
          <w:color w:val="000000"/>
          <w:sz w:val="27"/>
          <w:szCs w:val="27"/>
          <w:lang w:eastAsia="en-GB"/>
        </w:rPr>
        <w:t> (1866) L.R. 3 Eq. 382 which simply rested by their own weight were held to form part of the architectural design for the hall in which they were placed and so fell to be treated as part of the freehold</w:t>
      </w:r>
      <w:r w:rsidRPr="00427BCD">
        <w:rPr>
          <w:rFonts w:ascii="Times New Roman" w:eastAsia="Times New Roman" w:hAnsi="Times New Roman" w:cs="Times New Roman"/>
          <w:color w:val="000000"/>
          <w:sz w:val="27"/>
          <w:szCs w:val="27"/>
          <w:highlight w:val="yellow"/>
          <w:lang w:eastAsia="en-GB"/>
        </w:rPr>
        <w:t>. The reasoning in such a case where there is no physical attachment was identified by Blackburn J. in </w:t>
      </w:r>
      <w:r w:rsidRPr="00427BCD">
        <w:rPr>
          <w:rFonts w:ascii="Times New Roman" w:eastAsia="Times New Roman" w:hAnsi="Times New Roman" w:cs="Times New Roman"/>
          <w:i/>
          <w:iCs/>
          <w:color w:val="000000"/>
          <w:sz w:val="27"/>
          <w:szCs w:val="27"/>
          <w:highlight w:val="yellow"/>
          <w:lang w:eastAsia="en-GB"/>
        </w:rPr>
        <w:t>Holland v. Hodgson</w:t>
      </w:r>
      <w:r w:rsidRPr="00427BCD">
        <w:rPr>
          <w:rFonts w:ascii="Times New Roman" w:eastAsia="Times New Roman" w:hAnsi="Times New Roman" w:cs="Times New Roman"/>
          <w:color w:val="000000"/>
          <w:sz w:val="27"/>
          <w:szCs w:val="27"/>
          <w:highlight w:val="yellow"/>
          <w:lang w:eastAsia="en-GB"/>
        </w:rPr>
        <w:t> (1872) L.R. 7 C.P. 328, 335: "But even in such a case, if the intention is apparent to make the articles part of the land, they do become part of the land." He continued with the following instructive observations:</w:t>
      </w:r>
    </w:p>
    <w:p w:rsidR="00A013C1" w:rsidRPr="00A013C1" w:rsidRDefault="00A013C1" w:rsidP="00A013C1">
      <w:pPr>
        <w:spacing w:after="0" w:line="240" w:lineRule="auto"/>
        <w:ind w:left="720"/>
        <w:rPr>
          <w:rFonts w:ascii="Times New Roman" w:eastAsia="Times New Roman" w:hAnsi="Times New Roman" w:cs="Times New Roman"/>
          <w:color w:val="000000"/>
          <w:sz w:val="27"/>
          <w:szCs w:val="27"/>
          <w:lang w:eastAsia="en-GB"/>
        </w:rPr>
      </w:pPr>
      <w:r w:rsidRPr="00427BCD">
        <w:rPr>
          <w:rFonts w:ascii="Times New Roman" w:eastAsia="Times New Roman" w:hAnsi="Times New Roman" w:cs="Times New Roman"/>
          <w:color w:val="000000"/>
          <w:sz w:val="27"/>
          <w:szCs w:val="27"/>
          <w:highlight w:val="yellow"/>
          <w:lang w:eastAsia="en-GB"/>
        </w:rPr>
        <w:t> "Thus blocks of stone placed one on the top of another without any mortar or cement for the purpose of forming a dry stone wall would become part of the land, though the same stones, if deposited in a builder's yard and for convenience sake stacked on the top of each other in the form of a wall, would remain chattels. On the other hand, an article may be very firmly fixed to the land, and yet the circumstances may be such as to show that it was never intended to be part of the land, and then it does not become part of the land. The anchor of a large ship must be very firmly fixed in the ground in order to bear the strain of the cable, yet no one could suppose that it became part of the land, even though it should chance that shipowner was also the owner of the fee of the spot where the anchor was dropped. An anchor similarly fixed in the soil for the purpose of bearing the strain of the chain of a suspension bridge would be part of the land. Perhaps the true rule is, that articles not otherwise attached to the land than by their own weight are not to be considered as part of the land, unless the circumstances are such as to shew that they were intended to be part of the land, the onus of shewing that they were so intended lying on those who assert that they have ceased to be chattels, and that, on the contrary, an article which is affixed to the land even slightly is to be considered as part of the land, unless the circumstances are such as to shew that it was intended all along to continue a chattel, the onus lying on those who contend that it is a chattel."</w:t>
      </w:r>
    </w:p>
    <w:p w:rsidR="00A013C1" w:rsidRPr="00427BCD" w:rsidRDefault="00A013C1" w:rsidP="00A013C1">
      <w:pPr>
        <w:spacing w:before="100" w:beforeAutospacing="1" w:after="100" w:afterAutospacing="1" w:line="240" w:lineRule="auto"/>
        <w:rPr>
          <w:rFonts w:ascii="Times New Roman" w:eastAsia="Times New Roman" w:hAnsi="Times New Roman" w:cs="Times New Roman"/>
          <w:color w:val="000000"/>
          <w:sz w:val="27"/>
          <w:szCs w:val="27"/>
          <w:highlight w:val="yellow"/>
          <w:lang w:eastAsia="en-GB"/>
        </w:rPr>
      </w:pPr>
      <w:r w:rsidRPr="00A013C1">
        <w:rPr>
          <w:rFonts w:ascii="Times New Roman" w:eastAsia="Times New Roman" w:hAnsi="Times New Roman" w:cs="Times New Roman"/>
          <w:color w:val="000000"/>
          <w:sz w:val="27"/>
          <w:szCs w:val="27"/>
          <w:lang w:eastAsia="en-GB"/>
        </w:rPr>
        <w:t>      </w:t>
      </w:r>
      <w:r w:rsidRPr="00427BCD">
        <w:rPr>
          <w:rFonts w:ascii="Times New Roman" w:eastAsia="Times New Roman" w:hAnsi="Times New Roman" w:cs="Times New Roman"/>
          <w:color w:val="000000"/>
          <w:sz w:val="27"/>
          <w:szCs w:val="27"/>
          <w:highlight w:val="yellow"/>
          <w:lang w:eastAsia="en-GB"/>
        </w:rPr>
        <w:t>It is important to observe that intention in this context is to be assessed objectively and not subjectively. Indeed it may be that the use of the word intention is misleading. It is the purpose which the object is serving which has to be regarded, not the purpose of the person who put it there. The question is whether the object is designed for the use or enjoyment of the land or for the more complete or convenient use or enjoyment of the thing itself. As the foregoing passage from the judgment of Blackburn J. makes clear, the intention has to be shown from the circumstances. That point was taken up by A.L. Smith L.J. in </w:t>
      </w:r>
      <w:r w:rsidRPr="00427BCD">
        <w:rPr>
          <w:rFonts w:ascii="Times New Roman" w:eastAsia="Times New Roman" w:hAnsi="Times New Roman" w:cs="Times New Roman"/>
          <w:i/>
          <w:iCs/>
          <w:color w:val="000000"/>
          <w:sz w:val="27"/>
          <w:szCs w:val="27"/>
          <w:highlight w:val="yellow"/>
          <w:lang w:eastAsia="en-GB"/>
        </w:rPr>
        <w:t>Hobson v. Goringe</w:t>
      </w:r>
      <w:r w:rsidRPr="00427BCD">
        <w:rPr>
          <w:rFonts w:ascii="Times New Roman" w:eastAsia="Times New Roman" w:hAnsi="Times New Roman" w:cs="Times New Roman"/>
          <w:color w:val="000000"/>
          <w:sz w:val="27"/>
          <w:szCs w:val="27"/>
          <w:highlight w:val="yellow"/>
          <w:lang w:eastAsia="en-GB"/>
        </w:rPr>
        <w:t> </w:t>
      </w:r>
      <w:hyperlink r:id="rId16" w:tooltip="Link to BAILII version" w:history="1">
        <w:r w:rsidRPr="00427BCD">
          <w:rPr>
            <w:rFonts w:ascii="Times New Roman" w:eastAsia="Times New Roman" w:hAnsi="Times New Roman" w:cs="Times New Roman"/>
            <w:color w:val="0000FF"/>
            <w:sz w:val="27"/>
            <w:szCs w:val="27"/>
            <w:highlight w:val="yellow"/>
            <w:u w:val="single"/>
            <w:lang w:eastAsia="en-GB"/>
          </w:rPr>
          <w:t xml:space="preserve">[1897] 1 </w:t>
        </w:r>
        <w:proofErr w:type="spellStart"/>
        <w:r w:rsidRPr="00427BCD">
          <w:rPr>
            <w:rFonts w:ascii="Times New Roman" w:eastAsia="Times New Roman" w:hAnsi="Times New Roman" w:cs="Times New Roman"/>
            <w:color w:val="0000FF"/>
            <w:sz w:val="27"/>
            <w:szCs w:val="27"/>
            <w:highlight w:val="yellow"/>
            <w:u w:val="single"/>
            <w:lang w:eastAsia="en-GB"/>
          </w:rPr>
          <w:t>Ch</w:t>
        </w:r>
        <w:proofErr w:type="spellEnd"/>
        <w:r w:rsidRPr="00427BCD">
          <w:rPr>
            <w:rFonts w:ascii="Times New Roman" w:eastAsia="Times New Roman" w:hAnsi="Times New Roman" w:cs="Times New Roman"/>
            <w:color w:val="0000FF"/>
            <w:sz w:val="27"/>
            <w:szCs w:val="27"/>
            <w:highlight w:val="yellow"/>
            <w:u w:val="single"/>
            <w:lang w:eastAsia="en-GB"/>
          </w:rPr>
          <w:t xml:space="preserve"> 182</w:t>
        </w:r>
      </w:hyperlink>
      <w:r w:rsidRPr="00427BCD">
        <w:rPr>
          <w:rFonts w:ascii="Times New Roman" w:eastAsia="Times New Roman" w:hAnsi="Times New Roman" w:cs="Times New Roman"/>
          <w:color w:val="000000"/>
          <w:sz w:val="27"/>
          <w:szCs w:val="27"/>
          <w:highlight w:val="yellow"/>
          <w:lang w:eastAsia="en-GB"/>
        </w:rPr>
        <w:t>, 193, a decision approved by this House in </w:t>
      </w:r>
      <w:r w:rsidRPr="00427BCD">
        <w:rPr>
          <w:rFonts w:ascii="Times New Roman" w:eastAsia="Times New Roman" w:hAnsi="Times New Roman" w:cs="Times New Roman"/>
          <w:i/>
          <w:iCs/>
          <w:color w:val="000000"/>
          <w:sz w:val="27"/>
          <w:szCs w:val="27"/>
          <w:highlight w:val="yellow"/>
          <w:lang w:eastAsia="en-GB"/>
        </w:rPr>
        <w:t>Reynolds v. Ashby &amp; Son</w:t>
      </w:r>
      <w:r w:rsidRPr="00427BCD">
        <w:rPr>
          <w:rFonts w:ascii="Times New Roman" w:eastAsia="Times New Roman" w:hAnsi="Times New Roman" w:cs="Times New Roman"/>
          <w:color w:val="000000"/>
          <w:sz w:val="27"/>
          <w:szCs w:val="27"/>
          <w:highlight w:val="yellow"/>
          <w:lang w:eastAsia="en-GB"/>
        </w:rPr>
        <w:t> </w:t>
      </w:r>
      <w:hyperlink r:id="rId17" w:tooltip="Link to BAILII version" w:history="1">
        <w:r w:rsidRPr="00427BCD">
          <w:rPr>
            <w:rFonts w:ascii="Times New Roman" w:eastAsia="Times New Roman" w:hAnsi="Times New Roman" w:cs="Times New Roman"/>
            <w:color w:val="0000FF"/>
            <w:sz w:val="27"/>
            <w:szCs w:val="27"/>
            <w:highlight w:val="yellow"/>
            <w:u w:val="single"/>
            <w:lang w:eastAsia="en-GB"/>
          </w:rPr>
          <w:t>[1904] AC 466</w:t>
        </w:r>
      </w:hyperlink>
      <w:r w:rsidRPr="00427BCD">
        <w:rPr>
          <w:rFonts w:ascii="Times New Roman" w:eastAsia="Times New Roman" w:hAnsi="Times New Roman" w:cs="Times New Roman"/>
          <w:color w:val="000000"/>
          <w:sz w:val="27"/>
          <w:szCs w:val="27"/>
          <w:highlight w:val="yellow"/>
          <w:lang w:eastAsia="en-GB"/>
        </w:rPr>
        <w:t>, where he observes that Blackburn J.,</w:t>
      </w:r>
    </w:p>
    <w:p w:rsidR="00A013C1" w:rsidRPr="00A013C1" w:rsidRDefault="00A013C1" w:rsidP="00A013C1">
      <w:pPr>
        <w:spacing w:after="0" w:line="240" w:lineRule="auto"/>
        <w:ind w:left="720"/>
        <w:rPr>
          <w:rFonts w:ascii="Times New Roman" w:eastAsia="Times New Roman" w:hAnsi="Times New Roman" w:cs="Times New Roman"/>
          <w:color w:val="000000"/>
          <w:sz w:val="27"/>
          <w:szCs w:val="27"/>
          <w:lang w:eastAsia="en-GB"/>
        </w:rPr>
      </w:pPr>
      <w:r w:rsidRPr="00427BCD">
        <w:rPr>
          <w:rFonts w:ascii="Times New Roman" w:eastAsia="Times New Roman" w:hAnsi="Times New Roman" w:cs="Times New Roman"/>
          <w:color w:val="000000"/>
          <w:sz w:val="27"/>
          <w:szCs w:val="27"/>
          <w:highlight w:val="yellow"/>
          <w:lang w:eastAsia="en-GB"/>
        </w:rPr>
        <w:lastRenderedPageBreak/>
        <w:t> "</w:t>
      </w:r>
      <w:proofErr w:type="gramStart"/>
      <w:r w:rsidRPr="00427BCD">
        <w:rPr>
          <w:rFonts w:ascii="Times New Roman" w:eastAsia="Times New Roman" w:hAnsi="Times New Roman" w:cs="Times New Roman"/>
          <w:color w:val="000000"/>
          <w:sz w:val="27"/>
          <w:szCs w:val="27"/>
          <w:highlight w:val="yellow"/>
          <w:lang w:eastAsia="en-GB"/>
        </w:rPr>
        <w:t>was</w:t>
      </w:r>
      <w:proofErr w:type="gramEnd"/>
      <w:r w:rsidRPr="00427BCD">
        <w:rPr>
          <w:rFonts w:ascii="Times New Roman" w:eastAsia="Times New Roman" w:hAnsi="Times New Roman" w:cs="Times New Roman"/>
          <w:color w:val="000000"/>
          <w:sz w:val="27"/>
          <w:szCs w:val="27"/>
          <w:highlight w:val="yellow"/>
          <w:lang w:eastAsia="en-GB"/>
        </w:rPr>
        <w:t xml:space="preserve"> contemplating and referring to circumstances which shewed the degree of annexation and the object of such annexation which were patent for all to see, and not to the circumstances of a chance agreement that might or might not exist between the owner of a chattel and a hirer thereof."</w:t>
      </w:r>
    </w:p>
    <w:p w:rsidR="00A013C1" w:rsidRPr="00A013C1" w:rsidRDefault="00A013C1" w:rsidP="00A013C1">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A013C1">
        <w:rPr>
          <w:rFonts w:ascii="Times New Roman" w:eastAsia="Times New Roman" w:hAnsi="Times New Roman" w:cs="Times New Roman"/>
          <w:color w:val="000000"/>
          <w:sz w:val="27"/>
          <w:szCs w:val="27"/>
          <w:lang w:eastAsia="en-GB"/>
        </w:rPr>
        <w:t>      </w:t>
      </w:r>
      <w:r w:rsidRPr="00757161">
        <w:rPr>
          <w:rFonts w:ascii="Times New Roman" w:eastAsia="Times New Roman" w:hAnsi="Times New Roman" w:cs="Times New Roman"/>
          <w:color w:val="000000"/>
          <w:sz w:val="27"/>
          <w:szCs w:val="27"/>
          <w:highlight w:val="yellow"/>
          <w:lang w:eastAsia="en-GB"/>
        </w:rPr>
        <w:t>Regard may not be paid to the actual intention of the person who has caused the annexation to be made.</w:t>
      </w:r>
      <w:r w:rsidRPr="00A013C1">
        <w:rPr>
          <w:rFonts w:ascii="Times New Roman" w:eastAsia="Times New Roman" w:hAnsi="Times New Roman" w:cs="Times New Roman"/>
          <w:color w:val="000000"/>
          <w:sz w:val="27"/>
          <w:szCs w:val="27"/>
          <w:lang w:eastAsia="en-GB"/>
        </w:rPr>
        <w:t xml:space="preserve"> In </w:t>
      </w:r>
      <w:r w:rsidRPr="00A013C1">
        <w:rPr>
          <w:rFonts w:ascii="Times New Roman" w:eastAsia="Times New Roman" w:hAnsi="Times New Roman" w:cs="Times New Roman"/>
          <w:i/>
          <w:iCs/>
          <w:color w:val="000000"/>
          <w:sz w:val="27"/>
          <w:szCs w:val="27"/>
          <w:lang w:eastAsia="en-GB"/>
        </w:rPr>
        <w:t xml:space="preserve">In re De </w:t>
      </w:r>
      <w:proofErr w:type="spellStart"/>
      <w:r w:rsidRPr="00A013C1">
        <w:rPr>
          <w:rFonts w:ascii="Times New Roman" w:eastAsia="Times New Roman" w:hAnsi="Times New Roman" w:cs="Times New Roman"/>
          <w:i/>
          <w:iCs/>
          <w:color w:val="000000"/>
          <w:sz w:val="27"/>
          <w:szCs w:val="27"/>
          <w:lang w:eastAsia="en-GB"/>
        </w:rPr>
        <w:t>Falbe</w:t>
      </w:r>
      <w:proofErr w:type="spellEnd"/>
      <w:r w:rsidRPr="00A013C1">
        <w:rPr>
          <w:rFonts w:ascii="Times New Roman" w:eastAsia="Times New Roman" w:hAnsi="Times New Roman" w:cs="Times New Roman"/>
          <w:color w:val="000000"/>
          <w:sz w:val="27"/>
          <w:szCs w:val="27"/>
          <w:lang w:eastAsia="en-GB"/>
        </w:rPr>
        <w:t> </w:t>
      </w:r>
      <w:hyperlink r:id="rId18" w:tooltip="Link to BAILII version" w:history="1">
        <w:r w:rsidRPr="00A013C1">
          <w:rPr>
            <w:rFonts w:ascii="Times New Roman" w:eastAsia="Times New Roman" w:hAnsi="Times New Roman" w:cs="Times New Roman"/>
            <w:color w:val="0000FF"/>
            <w:sz w:val="27"/>
            <w:szCs w:val="27"/>
            <w:u w:val="single"/>
            <w:lang w:eastAsia="en-GB"/>
          </w:rPr>
          <w:t xml:space="preserve">[1901] 1 </w:t>
        </w:r>
        <w:proofErr w:type="spellStart"/>
        <w:r w:rsidRPr="00A013C1">
          <w:rPr>
            <w:rFonts w:ascii="Times New Roman" w:eastAsia="Times New Roman" w:hAnsi="Times New Roman" w:cs="Times New Roman"/>
            <w:color w:val="0000FF"/>
            <w:sz w:val="27"/>
            <w:szCs w:val="27"/>
            <w:u w:val="single"/>
            <w:lang w:eastAsia="en-GB"/>
          </w:rPr>
          <w:t>Ch</w:t>
        </w:r>
        <w:proofErr w:type="spellEnd"/>
        <w:r w:rsidRPr="00A013C1">
          <w:rPr>
            <w:rFonts w:ascii="Times New Roman" w:eastAsia="Times New Roman" w:hAnsi="Times New Roman" w:cs="Times New Roman"/>
            <w:color w:val="0000FF"/>
            <w:sz w:val="27"/>
            <w:szCs w:val="27"/>
            <w:u w:val="single"/>
            <w:lang w:eastAsia="en-GB"/>
          </w:rPr>
          <w:t xml:space="preserve"> 523</w:t>
        </w:r>
      </w:hyperlink>
      <w:r w:rsidRPr="00A013C1">
        <w:rPr>
          <w:rFonts w:ascii="Times New Roman" w:eastAsia="Times New Roman" w:hAnsi="Times New Roman" w:cs="Times New Roman"/>
          <w:color w:val="000000"/>
          <w:sz w:val="27"/>
          <w:szCs w:val="27"/>
          <w:lang w:eastAsia="en-GB"/>
        </w:rPr>
        <w:t>, 535, Vaughan Williams L.J. said that there was not to be an inquiry into the motive of the person who annexed the articles, "but a consideration of the object and purpose of the annexation as it is to be inferred from the circumstances of the case." As Lord Cockburn put it in </w:t>
      </w:r>
      <w:r w:rsidRPr="00A013C1">
        <w:rPr>
          <w:rFonts w:ascii="Times New Roman" w:eastAsia="Times New Roman" w:hAnsi="Times New Roman" w:cs="Times New Roman"/>
          <w:i/>
          <w:iCs/>
          <w:color w:val="000000"/>
          <w:sz w:val="27"/>
          <w:szCs w:val="27"/>
          <w:lang w:eastAsia="en-GB"/>
        </w:rPr>
        <w:t>Dixon v. Fisher</w:t>
      </w:r>
      <w:r w:rsidRPr="00A013C1">
        <w:rPr>
          <w:rFonts w:ascii="Times New Roman" w:eastAsia="Times New Roman" w:hAnsi="Times New Roman" w:cs="Times New Roman"/>
          <w:color w:val="000000"/>
          <w:sz w:val="27"/>
          <w:szCs w:val="27"/>
          <w:lang w:eastAsia="en-GB"/>
        </w:rPr>
        <w:t> (1843) 5 D. 775, 793 "no man can make his property real or personal by merely thinking it so." The matter has to be viewed objectively.</w:t>
      </w:r>
    </w:p>
    <w:p w:rsidR="00A013C1" w:rsidRPr="00A013C1" w:rsidRDefault="00A013C1" w:rsidP="00A013C1">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A013C1">
        <w:rPr>
          <w:rFonts w:ascii="Times New Roman" w:eastAsia="Times New Roman" w:hAnsi="Times New Roman" w:cs="Times New Roman"/>
          <w:color w:val="000000"/>
          <w:sz w:val="27"/>
          <w:szCs w:val="27"/>
          <w:lang w:eastAsia="en-GB"/>
        </w:rPr>
        <w:t>      If one considers the object or purpose which the structure serves by being placed where it is, it was clearly placed there to enable the amenity of Holt's Field to be enjoyed through the establishment of a residence. The bungalow was built there in order that people could live in what is represented as being an idyllic rural environment. The Court of Appeal, however, had regard to the belief of Mr. Morris that he owned the bungalow as evidence of his intention. But his belief cannot control the operation of the law in relation to accession and the matter of intention has to be judged objectively. Indeed the fact that the freeholders may have believed and reminded the occupants that their rights to remain could be terminated, which was also a factor on which the Court of Appeal relied, cannot affect the operation of the law.</w:t>
      </w:r>
    </w:p>
    <w:p w:rsidR="00A013C1" w:rsidRPr="00A013C1" w:rsidRDefault="00A013C1" w:rsidP="00A013C1">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A013C1">
        <w:rPr>
          <w:rFonts w:ascii="Times New Roman" w:eastAsia="Times New Roman" w:hAnsi="Times New Roman" w:cs="Times New Roman"/>
          <w:color w:val="000000"/>
          <w:sz w:val="27"/>
          <w:szCs w:val="27"/>
          <w:lang w:eastAsia="en-GB"/>
        </w:rPr>
        <w:t>      </w:t>
      </w:r>
      <w:r w:rsidRPr="00757161">
        <w:rPr>
          <w:rFonts w:ascii="Times New Roman" w:eastAsia="Times New Roman" w:hAnsi="Times New Roman" w:cs="Times New Roman"/>
          <w:color w:val="000000"/>
          <w:sz w:val="27"/>
          <w:szCs w:val="27"/>
          <w:highlight w:val="yellow"/>
          <w:lang w:eastAsia="en-GB"/>
        </w:rPr>
        <w:t>Accession also involves a degree of permanence, as opposed to some merely temporary provision. This is not simply a matter of counting the years for which the structure has stood where it is, but again of appraising the whole circumstances.</w:t>
      </w:r>
      <w:r w:rsidRPr="00A013C1">
        <w:rPr>
          <w:rFonts w:ascii="Times New Roman" w:eastAsia="Times New Roman" w:hAnsi="Times New Roman" w:cs="Times New Roman"/>
          <w:color w:val="000000"/>
          <w:sz w:val="27"/>
          <w:szCs w:val="27"/>
          <w:lang w:eastAsia="en-GB"/>
        </w:rPr>
        <w:t xml:space="preserve"> The bungalow has been standing on its site for about half a century and has been used for many years as the residence of Mr. Morris and his family. That the bungalow was constructed where it is for the purpose of a residence and that it cannot be removed and re-erected elsewhere point in my view to the conclusion that it is intended to serve a permanent purpose. </w:t>
      </w:r>
      <w:r w:rsidRPr="00757161">
        <w:rPr>
          <w:rFonts w:ascii="Times New Roman" w:eastAsia="Times New Roman" w:hAnsi="Times New Roman" w:cs="Times New Roman"/>
          <w:color w:val="000000"/>
          <w:sz w:val="27"/>
          <w:szCs w:val="27"/>
          <w:highlight w:val="yellow"/>
          <w:lang w:eastAsia="en-GB"/>
        </w:rPr>
        <w:t>If it was designed and constructed in a way that would enable it to be taken down and rebuilt elsewhere, that might well point to the possibility that it still retained its character of a chattel. That the integrity of this chalet depends upon it remaining where it is provides that element of permanence which points to its having acceded to the ground.</w:t>
      </w:r>
      <w:r w:rsidRPr="00A013C1">
        <w:rPr>
          <w:rFonts w:ascii="Times New Roman" w:eastAsia="Times New Roman" w:hAnsi="Times New Roman" w:cs="Times New Roman"/>
          <w:color w:val="000000"/>
          <w:sz w:val="27"/>
          <w:szCs w:val="27"/>
          <w:lang w:eastAsia="en-GB"/>
        </w:rPr>
        <w:t xml:space="preserve"> The Court of Appeal took the view that the bungalow was no more annexed to the land and just as much a chattel as the greenhouse </w:t>
      </w:r>
      <w:r w:rsidRPr="001F5CF5">
        <w:rPr>
          <w:rFonts w:ascii="Times New Roman" w:eastAsia="Times New Roman" w:hAnsi="Times New Roman" w:cs="Times New Roman"/>
          <w:color w:val="000000"/>
          <w:sz w:val="27"/>
          <w:szCs w:val="27"/>
          <w:highlight w:val="yellow"/>
          <w:lang w:eastAsia="en-GB"/>
        </w:rPr>
        <w:t>in </w:t>
      </w:r>
      <w:r w:rsidRPr="001F5CF5">
        <w:rPr>
          <w:rFonts w:ascii="Times New Roman" w:eastAsia="Times New Roman" w:hAnsi="Times New Roman" w:cs="Times New Roman"/>
          <w:i/>
          <w:iCs/>
          <w:color w:val="000000"/>
          <w:sz w:val="27"/>
          <w:szCs w:val="27"/>
          <w:highlight w:val="yellow"/>
          <w:lang w:eastAsia="en-GB"/>
        </w:rPr>
        <w:t>Deen v. Andrews</w:t>
      </w:r>
      <w:r w:rsidRPr="001F5CF5">
        <w:rPr>
          <w:rFonts w:ascii="Times New Roman" w:eastAsia="Times New Roman" w:hAnsi="Times New Roman" w:cs="Times New Roman"/>
          <w:color w:val="000000"/>
          <w:sz w:val="27"/>
          <w:szCs w:val="27"/>
          <w:highlight w:val="yellow"/>
          <w:lang w:eastAsia="en-GB"/>
        </w:rPr>
        <w:t> [1986] 1 E.G.L.R. 262 (or, as I have already mentioned, the large shed in </w:t>
      </w:r>
      <w:r w:rsidRPr="001F5CF5">
        <w:rPr>
          <w:rFonts w:ascii="Times New Roman" w:eastAsia="Times New Roman" w:hAnsi="Times New Roman" w:cs="Times New Roman"/>
          <w:i/>
          <w:iCs/>
          <w:color w:val="000000"/>
          <w:sz w:val="27"/>
          <w:szCs w:val="27"/>
          <w:highlight w:val="yellow"/>
          <w:lang w:eastAsia="en-GB"/>
        </w:rPr>
        <w:t>Webb v. Frank Bevis Ltd.</w:t>
      </w:r>
      <w:r w:rsidRPr="001F5CF5">
        <w:rPr>
          <w:rFonts w:ascii="Times New Roman" w:eastAsia="Times New Roman" w:hAnsi="Times New Roman" w:cs="Times New Roman"/>
          <w:color w:val="000000"/>
          <w:sz w:val="27"/>
          <w:szCs w:val="27"/>
          <w:highlight w:val="yellow"/>
          <w:lang w:eastAsia="en-GB"/>
        </w:rPr>
        <w:t>). But there is a critical distinction between </w:t>
      </w:r>
      <w:r w:rsidRPr="001F5CF5">
        <w:rPr>
          <w:rFonts w:ascii="Times New Roman" w:eastAsia="Times New Roman" w:hAnsi="Times New Roman" w:cs="Times New Roman"/>
          <w:i/>
          <w:iCs/>
          <w:color w:val="000000"/>
          <w:sz w:val="27"/>
          <w:szCs w:val="27"/>
          <w:highlight w:val="yellow"/>
          <w:lang w:eastAsia="en-GB"/>
        </w:rPr>
        <w:t>Deen v. Andrews</w:t>
      </w:r>
      <w:r w:rsidRPr="001F5CF5">
        <w:rPr>
          <w:rFonts w:ascii="Times New Roman" w:eastAsia="Times New Roman" w:hAnsi="Times New Roman" w:cs="Times New Roman"/>
          <w:color w:val="000000"/>
          <w:sz w:val="27"/>
          <w:szCs w:val="27"/>
          <w:highlight w:val="yellow"/>
          <w:lang w:eastAsia="en-GB"/>
        </w:rPr>
        <w:t> and the present case in the fact that the greenhouse was demountable while the bungalow is not.</w:t>
      </w:r>
      <w:r w:rsidRPr="00A013C1">
        <w:rPr>
          <w:rFonts w:ascii="Times New Roman" w:eastAsia="Times New Roman" w:hAnsi="Times New Roman" w:cs="Times New Roman"/>
          <w:color w:val="000000"/>
          <w:sz w:val="27"/>
          <w:szCs w:val="27"/>
          <w:lang w:eastAsia="en-GB"/>
        </w:rPr>
        <w:t xml:space="preserve"> I prefer the conclusion reached by the learned assistant recorder after hearing the evidence and visiting the site to form his own impression of the situation. As he observed </w:t>
      </w:r>
      <w:r w:rsidRPr="00A013C1">
        <w:rPr>
          <w:rFonts w:ascii="Times New Roman" w:eastAsia="Times New Roman" w:hAnsi="Times New Roman" w:cs="Times New Roman"/>
          <w:color w:val="000000"/>
          <w:sz w:val="27"/>
          <w:szCs w:val="27"/>
          <w:lang w:eastAsia="en-GB"/>
        </w:rPr>
        <w:lastRenderedPageBreak/>
        <w:t>towards the end of his judgment, a judgment which deserves commendation for the detail and care which has gone into it:</w:t>
      </w:r>
    </w:p>
    <w:p w:rsidR="00A013C1" w:rsidRPr="00A013C1" w:rsidRDefault="00A013C1" w:rsidP="00A013C1">
      <w:pPr>
        <w:spacing w:after="0" w:line="240" w:lineRule="auto"/>
        <w:ind w:left="720"/>
        <w:rPr>
          <w:rFonts w:ascii="Times New Roman" w:eastAsia="Times New Roman" w:hAnsi="Times New Roman" w:cs="Times New Roman"/>
          <w:color w:val="000000"/>
          <w:sz w:val="27"/>
          <w:szCs w:val="27"/>
          <w:lang w:eastAsia="en-GB"/>
        </w:rPr>
      </w:pPr>
      <w:r w:rsidRPr="00A013C1">
        <w:rPr>
          <w:rFonts w:ascii="Times New Roman" w:eastAsia="Times New Roman" w:hAnsi="Times New Roman" w:cs="Times New Roman"/>
          <w:color w:val="000000"/>
          <w:sz w:val="27"/>
          <w:szCs w:val="27"/>
          <w:lang w:eastAsia="en-GB"/>
        </w:rPr>
        <w:t> </w:t>
      </w:r>
      <w:r w:rsidRPr="001F5CF5">
        <w:rPr>
          <w:rFonts w:ascii="Times New Roman" w:eastAsia="Times New Roman" w:hAnsi="Times New Roman" w:cs="Times New Roman"/>
          <w:color w:val="000000"/>
          <w:sz w:val="27"/>
          <w:szCs w:val="27"/>
          <w:highlight w:val="yellow"/>
          <w:lang w:eastAsia="en-GB"/>
        </w:rPr>
        <w:t>". . . it seems to me clear that at least by 1985 and probably before, it would have been clear to anybody that this was a structure which was not meant to be enjoyed as a chattel to be picked up and moved in due course</w:t>
      </w:r>
      <w:r w:rsidRPr="00A013C1">
        <w:rPr>
          <w:rFonts w:ascii="Times New Roman" w:eastAsia="Times New Roman" w:hAnsi="Times New Roman" w:cs="Times New Roman"/>
          <w:color w:val="000000"/>
          <w:sz w:val="27"/>
          <w:szCs w:val="27"/>
          <w:lang w:eastAsia="en-GB"/>
        </w:rPr>
        <w:t xml:space="preserve"> but that it should be a long-term feature of the realty albeit that, because of its construction, it would plainly need more regular maintenance."</w:t>
      </w:r>
    </w:p>
    <w:p w:rsidR="00A013C1" w:rsidRPr="00A013C1" w:rsidRDefault="00A013C1" w:rsidP="00A013C1">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A013C1">
        <w:rPr>
          <w:rFonts w:ascii="Times New Roman" w:eastAsia="Times New Roman" w:hAnsi="Times New Roman" w:cs="Times New Roman"/>
          <w:color w:val="000000"/>
          <w:sz w:val="27"/>
          <w:szCs w:val="27"/>
          <w:lang w:eastAsia="en-GB"/>
        </w:rPr>
        <w:t>      In my view the conclusion reached on this matter by the assistant recorder was correct. The appeal should be allowed and the order made by him relating to Unit 6 should be restored.</w:t>
      </w:r>
    </w:p>
    <w:p w:rsidR="00B82744" w:rsidRPr="00730305" w:rsidRDefault="00B82744" w:rsidP="00730305"/>
    <w:sectPr w:rsidR="00B82744" w:rsidRPr="00730305" w:rsidSect="00C46687">
      <w:footerReference w:type="default" r:id="rId19"/>
      <w:pgSz w:w="11906" w:h="16838"/>
      <w:pgMar w:top="1440" w:right="1440" w:bottom="1440" w:left="1440" w:header="708" w:footer="708" w:gutter="0"/>
      <w:lnNumType w:countBy="1" w:restart="continuou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70D22" w:rsidRDefault="00370D22" w:rsidP="009B6779">
      <w:pPr>
        <w:spacing w:after="0" w:line="240" w:lineRule="auto"/>
      </w:pPr>
      <w:r>
        <w:separator/>
      </w:r>
    </w:p>
  </w:endnote>
  <w:endnote w:type="continuationSeparator" w:id="0">
    <w:p w:rsidR="00370D22" w:rsidRDefault="00370D22" w:rsidP="009B67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04250611"/>
      <w:docPartObj>
        <w:docPartGallery w:val="Page Numbers (Bottom of Page)"/>
        <w:docPartUnique/>
      </w:docPartObj>
    </w:sdtPr>
    <w:sdtContent>
      <w:sdt>
        <w:sdtPr>
          <w:id w:val="1728636285"/>
          <w:docPartObj>
            <w:docPartGallery w:val="Page Numbers (Top of Page)"/>
            <w:docPartUnique/>
          </w:docPartObj>
        </w:sdtPr>
        <w:sdtContent>
          <w:p w:rsidR="009B6779" w:rsidRDefault="009B6779">
            <w:pPr>
              <w:pStyle w:val="Footer"/>
              <w:jc w:val="center"/>
            </w:pPr>
            <w:r w:rsidRPr="009B6779">
              <w:rPr>
                <w:color w:val="2E74B5" w:themeColor="accent1" w:themeShade="BF"/>
                <w:sz w:val="20"/>
                <w:szCs w:val="20"/>
              </w:rPr>
              <w:t xml:space="preserve">Page </w:t>
            </w:r>
            <w:r w:rsidRPr="009B6779">
              <w:rPr>
                <w:b/>
                <w:bCs/>
                <w:color w:val="2E74B5" w:themeColor="accent1" w:themeShade="BF"/>
                <w:sz w:val="20"/>
                <w:szCs w:val="20"/>
              </w:rPr>
              <w:fldChar w:fldCharType="begin"/>
            </w:r>
            <w:r w:rsidRPr="009B6779">
              <w:rPr>
                <w:b/>
                <w:bCs/>
                <w:color w:val="2E74B5" w:themeColor="accent1" w:themeShade="BF"/>
                <w:sz w:val="20"/>
                <w:szCs w:val="20"/>
              </w:rPr>
              <w:instrText xml:space="preserve"> PAGE </w:instrText>
            </w:r>
            <w:r w:rsidRPr="009B6779">
              <w:rPr>
                <w:b/>
                <w:bCs/>
                <w:color w:val="2E74B5" w:themeColor="accent1" w:themeShade="BF"/>
                <w:sz w:val="20"/>
                <w:szCs w:val="20"/>
              </w:rPr>
              <w:fldChar w:fldCharType="separate"/>
            </w:r>
            <w:r w:rsidR="00480C2A">
              <w:rPr>
                <w:b/>
                <w:bCs/>
                <w:noProof/>
                <w:color w:val="2E74B5" w:themeColor="accent1" w:themeShade="BF"/>
                <w:sz w:val="20"/>
                <w:szCs w:val="20"/>
              </w:rPr>
              <w:t>6</w:t>
            </w:r>
            <w:r w:rsidRPr="009B6779">
              <w:rPr>
                <w:b/>
                <w:bCs/>
                <w:color w:val="2E74B5" w:themeColor="accent1" w:themeShade="BF"/>
                <w:sz w:val="20"/>
                <w:szCs w:val="20"/>
              </w:rPr>
              <w:fldChar w:fldCharType="end"/>
            </w:r>
            <w:r w:rsidRPr="009B6779">
              <w:rPr>
                <w:color w:val="2E74B5" w:themeColor="accent1" w:themeShade="BF"/>
                <w:sz w:val="20"/>
                <w:szCs w:val="20"/>
              </w:rPr>
              <w:t xml:space="preserve"> of </w:t>
            </w:r>
            <w:r w:rsidRPr="009B6779">
              <w:rPr>
                <w:b/>
                <w:bCs/>
                <w:color w:val="2E74B5" w:themeColor="accent1" w:themeShade="BF"/>
                <w:sz w:val="20"/>
                <w:szCs w:val="20"/>
              </w:rPr>
              <w:fldChar w:fldCharType="begin"/>
            </w:r>
            <w:r w:rsidRPr="009B6779">
              <w:rPr>
                <w:b/>
                <w:bCs/>
                <w:color w:val="2E74B5" w:themeColor="accent1" w:themeShade="BF"/>
                <w:sz w:val="20"/>
                <w:szCs w:val="20"/>
              </w:rPr>
              <w:instrText xml:space="preserve"> NUMPAGES  </w:instrText>
            </w:r>
            <w:r w:rsidRPr="009B6779">
              <w:rPr>
                <w:b/>
                <w:bCs/>
                <w:color w:val="2E74B5" w:themeColor="accent1" w:themeShade="BF"/>
                <w:sz w:val="20"/>
                <w:szCs w:val="20"/>
              </w:rPr>
              <w:fldChar w:fldCharType="separate"/>
            </w:r>
            <w:r w:rsidR="00480C2A">
              <w:rPr>
                <w:b/>
                <w:bCs/>
                <w:noProof/>
                <w:color w:val="2E74B5" w:themeColor="accent1" w:themeShade="BF"/>
                <w:sz w:val="20"/>
                <w:szCs w:val="20"/>
              </w:rPr>
              <w:t>15</w:t>
            </w:r>
            <w:r w:rsidRPr="009B6779">
              <w:rPr>
                <w:b/>
                <w:bCs/>
                <w:color w:val="2E74B5" w:themeColor="accent1" w:themeShade="BF"/>
                <w:sz w:val="20"/>
                <w:szCs w:val="20"/>
              </w:rPr>
              <w:fldChar w:fldCharType="end"/>
            </w:r>
          </w:p>
        </w:sdtContent>
      </w:sdt>
    </w:sdtContent>
  </w:sdt>
  <w:p w:rsidR="009B6779" w:rsidRDefault="009B677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70D22" w:rsidRDefault="00370D22" w:rsidP="009B6779">
      <w:pPr>
        <w:spacing w:after="0" w:line="240" w:lineRule="auto"/>
      </w:pPr>
      <w:r>
        <w:separator/>
      </w:r>
    </w:p>
  </w:footnote>
  <w:footnote w:type="continuationSeparator" w:id="0">
    <w:p w:rsidR="00370D22" w:rsidRDefault="00370D22" w:rsidP="009B677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C6547B"/>
    <w:multiLevelType w:val="multilevel"/>
    <w:tmpl w:val="F86857C6"/>
    <w:lvl w:ilvl="0">
      <w:start w:val="1"/>
      <w:numFmt w:val="decimal"/>
      <w:pStyle w:val="1"/>
      <w:lvlText w:val="%1)"/>
      <w:lvlJc w:val="left"/>
      <w:pPr>
        <w:ind w:left="1800" w:hanging="360"/>
      </w:pPr>
    </w:lvl>
    <w:lvl w:ilvl="1">
      <w:start w:val="1"/>
      <w:numFmt w:val="lowerLetter"/>
      <w:pStyle w:val="2"/>
      <w:lvlText w:val="%2)"/>
      <w:lvlJc w:val="left"/>
      <w:pPr>
        <w:ind w:left="2160" w:hanging="360"/>
      </w:pPr>
    </w:lvl>
    <w:lvl w:ilvl="2">
      <w:start w:val="1"/>
      <w:numFmt w:val="lowerRoman"/>
      <w:pStyle w:val="3"/>
      <w:lvlText w:val="%3)"/>
      <w:lvlJc w:val="left"/>
      <w:pPr>
        <w:ind w:left="2520" w:hanging="360"/>
      </w:pPr>
    </w:lvl>
    <w:lvl w:ilvl="3">
      <w:start w:val="1"/>
      <w:numFmt w:val="decimal"/>
      <w:lvlText w:val="(%4)"/>
      <w:lvlJc w:val="left"/>
      <w:pPr>
        <w:ind w:left="2880" w:hanging="360"/>
      </w:pPr>
    </w:lvl>
    <w:lvl w:ilvl="4">
      <w:start w:val="1"/>
      <w:numFmt w:val="lowerLetter"/>
      <w:lvlText w:val="(%5)"/>
      <w:lvlJc w:val="left"/>
      <w:pPr>
        <w:ind w:left="3240" w:hanging="360"/>
      </w:pPr>
    </w:lvl>
    <w:lvl w:ilvl="5">
      <w:start w:val="1"/>
      <w:numFmt w:val="lowerRoman"/>
      <w:lvlText w:val="(%6)"/>
      <w:lvlJc w:val="left"/>
      <w:pPr>
        <w:ind w:left="3600" w:hanging="360"/>
      </w:pPr>
    </w:lvl>
    <w:lvl w:ilvl="6">
      <w:start w:val="1"/>
      <w:numFmt w:val="decimal"/>
      <w:lvlText w:val="%7."/>
      <w:lvlJc w:val="left"/>
      <w:pPr>
        <w:ind w:left="3960" w:hanging="360"/>
      </w:pPr>
    </w:lvl>
    <w:lvl w:ilvl="7">
      <w:start w:val="1"/>
      <w:numFmt w:val="lowerLetter"/>
      <w:lvlText w:val="%8."/>
      <w:lvlJc w:val="left"/>
      <w:pPr>
        <w:ind w:left="4320" w:hanging="360"/>
      </w:pPr>
    </w:lvl>
    <w:lvl w:ilvl="8">
      <w:start w:val="1"/>
      <w:numFmt w:val="lowerRoman"/>
      <w:lvlText w:val="%9."/>
      <w:lvlJc w:val="left"/>
      <w:pPr>
        <w:ind w:left="4680" w:hanging="360"/>
      </w:pPr>
    </w:lvl>
  </w:abstractNum>
  <w:abstractNum w:abstractNumId="1" w15:restartNumberingAfterBreak="0">
    <w:nsid w:val="37154F9B"/>
    <w:multiLevelType w:val="hybridMultilevel"/>
    <w:tmpl w:val="24FC2C2A"/>
    <w:lvl w:ilvl="0" w:tplc="B0E23D46">
      <w:start w:val="1"/>
      <w:numFmt w:val="bullet"/>
      <w:pStyle w:val="1b"/>
      <w:lvlText w:val=""/>
      <w:lvlJc w:val="left"/>
      <w:pPr>
        <w:ind w:left="360" w:hanging="360"/>
      </w:pPr>
      <w:rPr>
        <w:rFonts w:ascii="Symbol" w:hAnsi="Symbol" w:hint="default"/>
      </w:rPr>
    </w:lvl>
    <w:lvl w:ilvl="1" w:tplc="A2541370">
      <w:start w:val="1"/>
      <w:numFmt w:val="bullet"/>
      <w:pStyle w:val="2b"/>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13C1"/>
    <w:rsid w:val="000444DB"/>
    <w:rsid w:val="001407D3"/>
    <w:rsid w:val="001F5CF5"/>
    <w:rsid w:val="00370D22"/>
    <w:rsid w:val="00407BD0"/>
    <w:rsid w:val="00427BCD"/>
    <w:rsid w:val="00480C2A"/>
    <w:rsid w:val="00493E0D"/>
    <w:rsid w:val="00512335"/>
    <w:rsid w:val="0056241B"/>
    <w:rsid w:val="005F4298"/>
    <w:rsid w:val="006C2335"/>
    <w:rsid w:val="006E49D8"/>
    <w:rsid w:val="006E7A31"/>
    <w:rsid w:val="00730305"/>
    <w:rsid w:val="00757161"/>
    <w:rsid w:val="00874B97"/>
    <w:rsid w:val="008C6BB4"/>
    <w:rsid w:val="00975680"/>
    <w:rsid w:val="009B6779"/>
    <w:rsid w:val="00A013C1"/>
    <w:rsid w:val="00A43EFE"/>
    <w:rsid w:val="00B82744"/>
    <w:rsid w:val="00BA7DEE"/>
    <w:rsid w:val="00C46687"/>
    <w:rsid w:val="00D2008A"/>
    <w:rsid w:val="00EE0065"/>
    <w:rsid w:val="00F145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BDC65E8-CE7B-48AF-A36F-FC0C8C092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4298"/>
  </w:style>
  <w:style w:type="paragraph" w:styleId="Heading2">
    <w:name w:val="heading 2"/>
    <w:basedOn w:val="Normal"/>
    <w:link w:val="Heading2Char"/>
    <w:uiPriority w:val="9"/>
    <w:qFormat/>
    <w:rsid w:val="00A013C1"/>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6241B"/>
    <w:pPr>
      <w:spacing w:after="0" w:line="240" w:lineRule="auto"/>
    </w:pPr>
  </w:style>
  <w:style w:type="paragraph" w:styleId="ListParagraph">
    <w:name w:val="List Paragraph"/>
    <w:basedOn w:val="Normal"/>
    <w:link w:val="ListParagraphChar"/>
    <w:uiPriority w:val="34"/>
    <w:qFormat/>
    <w:rsid w:val="006C2335"/>
    <w:pPr>
      <w:ind w:left="720"/>
      <w:contextualSpacing/>
    </w:pPr>
  </w:style>
  <w:style w:type="paragraph" w:customStyle="1" w:styleId="1">
    <w:name w:val="1"/>
    <w:basedOn w:val="ListParagraph"/>
    <w:link w:val="1Char"/>
    <w:qFormat/>
    <w:rsid w:val="000444DB"/>
    <w:pPr>
      <w:numPr>
        <w:numId w:val="1"/>
      </w:numPr>
      <w:ind w:left="357" w:hanging="357"/>
      <w:contextualSpacing w:val="0"/>
    </w:pPr>
  </w:style>
  <w:style w:type="paragraph" w:customStyle="1" w:styleId="2">
    <w:name w:val="2"/>
    <w:basedOn w:val="1"/>
    <w:link w:val="2Char"/>
    <w:qFormat/>
    <w:rsid w:val="000444DB"/>
    <w:pPr>
      <w:numPr>
        <w:ilvl w:val="1"/>
      </w:numPr>
      <w:ind w:left="714" w:hanging="357"/>
    </w:pPr>
  </w:style>
  <w:style w:type="character" w:customStyle="1" w:styleId="ListParagraphChar">
    <w:name w:val="List Paragraph Char"/>
    <w:basedOn w:val="DefaultParagraphFont"/>
    <w:link w:val="ListParagraph"/>
    <w:uiPriority w:val="34"/>
    <w:rsid w:val="006C2335"/>
  </w:style>
  <w:style w:type="character" w:customStyle="1" w:styleId="1Char">
    <w:name w:val="1 Char"/>
    <w:basedOn w:val="ListParagraphChar"/>
    <w:link w:val="1"/>
    <w:rsid w:val="000444DB"/>
  </w:style>
  <w:style w:type="paragraph" w:customStyle="1" w:styleId="3">
    <w:name w:val="3"/>
    <w:basedOn w:val="2"/>
    <w:link w:val="3Char"/>
    <w:qFormat/>
    <w:rsid w:val="00512335"/>
    <w:pPr>
      <w:numPr>
        <w:ilvl w:val="2"/>
      </w:numPr>
      <w:ind w:left="1077" w:hanging="357"/>
    </w:pPr>
  </w:style>
  <w:style w:type="character" w:customStyle="1" w:styleId="2Char">
    <w:name w:val="2 Char"/>
    <w:basedOn w:val="1Char"/>
    <w:link w:val="2"/>
    <w:rsid w:val="000444DB"/>
  </w:style>
  <w:style w:type="paragraph" w:customStyle="1" w:styleId="10">
    <w:name w:val="1.0"/>
    <w:basedOn w:val="2"/>
    <w:link w:val="10Char"/>
    <w:qFormat/>
    <w:rsid w:val="00512335"/>
    <w:pPr>
      <w:numPr>
        <w:ilvl w:val="0"/>
        <w:numId w:val="0"/>
      </w:numPr>
      <w:ind w:left="357"/>
    </w:pPr>
  </w:style>
  <w:style w:type="character" w:customStyle="1" w:styleId="3Char">
    <w:name w:val="3 Char"/>
    <w:basedOn w:val="2Char"/>
    <w:link w:val="3"/>
    <w:rsid w:val="00512335"/>
  </w:style>
  <w:style w:type="paragraph" w:customStyle="1" w:styleId="20">
    <w:name w:val="2.0"/>
    <w:basedOn w:val="2"/>
    <w:link w:val="20Char"/>
    <w:qFormat/>
    <w:rsid w:val="00B82744"/>
    <w:pPr>
      <w:numPr>
        <w:ilvl w:val="0"/>
        <w:numId w:val="0"/>
      </w:numPr>
      <w:ind w:left="714"/>
    </w:pPr>
  </w:style>
  <w:style w:type="character" w:customStyle="1" w:styleId="10Char">
    <w:name w:val="1.0 Char"/>
    <w:basedOn w:val="2Char"/>
    <w:link w:val="10"/>
    <w:rsid w:val="00512335"/>
  </w:style>
  <w:style w:type="paragraph" w:customStyle="1" w:styleId="30">
    <w:name w:val="3.0"/>
    <w:basedOn w:val="3"/>
    <w:link w:val="30Char"/>
    <w:qFormat/>
    <w:rsid w:val="00B82744"/>
    <w:pPr>
      <w:numPr>
        <w:ilvl w:val="0"/>
        <w:numId w:val="0"/>
      </w:numPr>
      <w:ind w:left="1077"/>
    </w:pPr>
  </w:style>
  <w:style w:type="character" w:customStyle="1" w:styleId="20Char">
    <w:name w:val="2.0 Char"/>
    <w:basedOn w:val="2Char"/>
    <w:link w:val="20"/>
    <w:rsid w:val="00B82744"/>
  </w:style>
  <w:style w:type="paragraph" w:customStyle="1" w:styleId="1b">
    <w:name w:val="1.b"/>
    <w:basedOn w:val="ListParagraph"/>
    <w:link w:val="1bChar"/>
    <w:qFormat/>
    <w:rsid w:val="006E7A31"/>
    <w:pPr>
      <w:numPr>
        <w:numId w:val="2"/>
      </w:numPr>
    </w:pPr>
  </w:style>
  <w:style w:type="character" w:customStyle="1" w:styleId="30Char">
    <w:name w:val="3.0 Char"/>
    <w:basedOn w:val="3Char"/>
    <w:link w:val="30"/>
    <w:rsid w:val="00B82744"/>
  </w:style>
  <w:style w:type="paragraph" w:customStyle="1" w:styleId="2b">
    <w:name w:val="2.b"/>
    <w:basedOn w:val="1b"/>
    <w:link w:val="2bChar"/>
    <w:qFormat/>
    <w:rsid w:val="006E7A31"/>
    <w:pPr>
      <w:numPr>
        <w:ilvl w:val="1"/>
      </w:numPr>
      <w:ind w:left="714" w:hanging="357"/>
    </w:pPr>
  </w:style>
  <w:style w:type="character" w:customStyle="1" w:styleId="1bChar">
    <w:name w:val="1.b Char"/>
    <w:basedOn w:val="ListParagraphChar"/>
    <w:link w:val="1b"/>
    <w:rsid w:val="006E7A31"/>
  </w:style>
  <w:style w:type="character" w:customStyle="1" w:styleId="2bChar">
    <w:name w:val="2.b Char"/>
    <w:basedOn w:val="1bChar"/>
    <w:link w:val="2b"/>
    <w:rsid w:val="006E7A31"/>
  </w:style>
  <w:style w:type="character" w:customStyle="1" w:styleId="Heading2Char">
    <w:name w:val="Heading 2 Char"/>
    <w:basedOn w:val="DefaultParagraphFont"/>
    <w:link w:val="Heading2"/>
    <w:uiPriority w:val="9"/>
    <w:rsid w:val="00A013C1"/>
    <w:rPr>
      <w:rFonts w:ascii="Times New Roman" w:eastAsia="Times New Roman" w:hAnsi="Times New Roman" w:cs="Times New Roman"/>
      <w:b/>
      <w:bCs/>
      <w:sz w:val="36"/>
      <w:szCs w:val="36"/>
      <w:lang w:eastAsia="en-GB"/>
    </w:rPr>
  </w:style>
  <w:style w:type="paragraph" w:styleId="NormalWeb">
    <w:name w:val="Normal (Web)"/>
    <w:basedOn w:val="Normal"/>
    <w:uiPriority w:val="99"/>
    <w:semiHidden/>
    <w:unhideWhenUsed/>
    <w:rsid w:val="00A013C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A013C1"/>
    <w:rPr>
      <w:color w:val="0000FF"/>
      <w:u w:val="single"/>
    </w:rPr>
  </w:style>
  <w:style w:type="character" w:styleId="LineNumber">
    <w:name w:val="line number"/>
    <w:basedOn w:val="DefaultParagraphFont"/>
    <w:uiPriority w:val="99"/>
    <w:semiHidden/>
    <w:unhideWhenUsed/>
    <w:rsid w:val="00C46687"/>
  </w:style>
  <w:style w:type="paragraph" w:styleId="Header">
    <w:name w:val="header"/>
    <w:basedOn w:val="Normal"/>
    <w:link w:val="HeaderChar"/>
    <w:uiPriority w:val="99"/>
    <w:unhideWhenUsed/>
    <w:rsid w:val="009B6779"/>
    <w:pPr>
      <w:tabs>
        <w:tab w:val="center" w:pos="4513"/>
        <w:tab w:val="right" w:pos="9026"/>
      </w:tabs>
      <w:spacing w:after="0" w:line="240" w:lineRule="auto"/>
    </w:pPr>
  </w:style>
  <w:style w:type="character" w:customStyle="1" w:styleId="HeaderChar">
    <w:name w:val="Header Char"/>
    <w:basedOn w:val="DefaultParagraphFont"/>
    <w:link w:val="Header"/>
    <w:uiPriority w:val="99"/>
    <w:rsid w:val="009B6779"/>
  </w:style>
  <w:style w:type="paragraph" w:styleId="Footer">
    <w:name w:val="footer"/>
    <w:basedOn w:val="Normal"/>
    <w:link w:val="FooterChar"/>
    <w:uiPriority w:val="99"/>
    <w:unhideWhenUsed/>
    <w:rsid w:val="009B6779"/>
    <w:pPr>
      <w:tabs>
        <w:tab w:val="center" w:pos="4513"/>
        <w:tab w:val="right" w:pos="9026"/>
      </w:tabs>
      <w:spacing w:after="0" w:line="240" w:lineRule="auto"/>
    </w:pPr>
  </w:style>
  <w:style w:type="character" w:customStyle="1" w:styleId="FooterChar">
    <w:name w:val="Footer Char"/>
    <w:basedOn w:val="DefaultParagraphFont"/>
    <w:link w:val="Footer"/>
    <w:uiPriority w:val="99"/>
    <w:rsid w:val="009B67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030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ustlii.edu.au/au/cases/cth/high_ct/3clr656.html" TargetMode="External"/><Relationship Id="rId13" Type="http://schemas.openxmlformats.org/officeDocument/2006/relationships/hyperlink" Target="http://www.commonlii.org/uk/cases/UKLawRpCh/1901/31.html" TargetMode="External"/><Relationship Id="rId18" Type="http://schemas.openxmlformats.org/officeDocument/2006/relationships/hyperlink" Target="http://www.commonlii.org/uk/cases/UKLawRpCh/1901/31.html"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commonlii.org/uk/cases/UKLawRpCh/1901/31.html" TargetMode="External"/><Relationship Id="rId17" Type="http://schemas.openxmlformats.org/officeDocument/2006/relationships/hyperlink" Target="https://www.bailii.org/cgi-bin/redirect.cgi?path=http://www.commonlii.org/uk/cases/UKLawRpAC/1904/52.html" TargetMode="External"/><Relationship Id="rId2" Type="http://schemas.openxmlformats.org/officeDocument/2006/relationships/numbering" Target="numbering.xml"/><Relationship Id="rId16" Type="http://schemas.openxmlformats.org/officeDocument/2006/relationships/hyperlink" Target="http://www.commonlii.org/uk/cases/UKLawRpCh/1896/188.htm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ailii.org/cgi-bin/redirect.cgi?path=/uk/cases/UKHL/1985/4.html" TargetMode="External"/><Relationship Id="rId5" Type="http://schemas.openxmlformats.org/officeDocument/2006/relationships/webSettings" Target="webSettings.xml"/><Relationship Id="rId15" Type="http://schemas.openxmlformats.org/officeDocument/2006/relationships/hyperlink" Target="http://www.austlii.edu.au/au/cases/cth/high_ct/3clr656.html" TargetMode="External"/><Relationship Id="rId10" Type="http://schemas.openxmlformats.org/officeDocument/2006/relationships/hyperlink" Target="http://www.commonlii.org/uk/cases/UKLawRpCh/1896/188.html"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bailii.org/cgi-bin/redirect.cgi?path=http://www.commonlii.org/uk/cases/UKLawRpAC/1902/2.html" TargetMode="External"/><Relationship Id="rId14" Type="http://schemas.openxmlformats.org/officeDocument/2006/relationships/hyperlink" Target="https://www.bailii.org/cgi-bin/redirect.cgi?path=http://www.commonlii.org/uk/cases/UKLawRpAC/1902/2.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726223-AB25-467F-A740-308945773D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15</Pages>
  <Words>5931</Words>
  <Characters>33813</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Desktop</dc:creator>
  <cp:keywords/>
  <dc:description/>
  <cp:lastModifiedBy>Desktop</cp:lastModifiedBy>
  <cp:revision>3</cp:revision>
  <dcterms:created xsi:type="dcterms:W3CDTF">2024-02-21T19:33:00Z</dcterms:created>
  <dcterms:modified xsi:type="dcterms:W3CDTF">2024-02-21T19:36:00Z</dcterms:modified>
</cp:coreProperties>
</file>